
<file path=[Content_Types].xml><?xml version="1.0" encoding="utf-8"?>
<Types xmlns="http://schemas.openxmlformats.org/package/2006/content-types">
  <Default Extension="emf" ContentType="image/x-emf"/>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charts/chart1.xml" ContentType="application/vnd.openxmlformats-officedocument.drawingml.chart+xml"/>
  <Override PartName="/word/footer3.xml" ContentType="application/vnd.openxmlformats-officedocument.wordprocessingml.footer+xml"/>
  <Default Extension="jpeg" ContentType="image/jpeg"/>
  <Override PartName="/word/footer2.xml" ContentType="application/vnd.openxmlformats-officedocument.wordprocessingml.footer+xml"/>
  <Default Extension="png" ContentType="image/png"/>
  <Override PartName="/docProps/core.xml" ContentType="application/vnd.openxmlformats-package.core-properties+xml"/>
  <Override PartName="/word/header3.xml" ContentType="application/vnd.openxmlformats-officedocument.wordprocessingml.header+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bin" ContentType="application/vnd.openxmlformats-officedocument.wordprocessingml.printerSettings"/>
  <Override PartName="/word/fontTable.xml" ContentType="application/vnd.openxmlformats-officedocument.wordprocessingml.fontTable+xml"/>
  <Override PartName="/docProps/custom.xml" ContentType="application/vnd.openxmlformats-officedocument.custom-properties+xml"/>
  <Override PartName="/word/footnotes.xml" ContentType="application/vnd.openxmlformats-officedocument.wordprocessingml.footnotes+xml"/>
  <Default Extension="rels" ContentType="application/vnd.openxmlformats-package.relationship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gif" ContentType="image/gif"/>
  <Override PartName="/word/endnotes.xml" ContentType="application/vnd.openxmlformats-officedocument.wordprocessingml.endnotes+xml"/>
  <Default Extension="pict" ContentType="image/pict"/>
</Types>
</file>

<file path=_rels/.rels><?xml version="1.0" encoding="UTF-8" standalone="yes"?>
<Relationships xmlns="http://schemas.openxmlformats.org/package/2006/relationships"><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865D9A" w:rsidRPr="00634F3B" w:rsidRDefault="00865D9A" w:rsidP="005A79B2">
      <w:r>
        <w:rPr>
          <w:noProof/>
          <w:lang w:val="en-US" w:eastAsia="en-US"/>
        </w:rPr>
        <w:drawing>
          <wp:anchor distT="0" distB="0" distL="114300" distR="114300" simplePos="0" relativeHeight="251660288" behindDoc="0" locked="0" layoutInCell="0" allowOverlap="1">
            <wp:simplePos x="0" y="0"/>
            <wp:positionH relativeFrom="column">
              <wp:posOffset>228600</wp:posOffset>
            </wp:positionH>
            <wp:positionV relativeFrom="paragraph">
              <wp:posOffset>24130</wp:posOffset>
            </wp:positionV>
            <wp:extent cx="5774690" cy="3413760"/>
            <wp:effectExtent l="25400" t="0" r="0" b="0"/>
            <wp:wrapSquare wrapText="bothSides"/>
            <wp:docPr id="4" name="Picture 2" descr="Logo EconWelfare  blauw groen nieuw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conWelfare  blauw groen nieuw def"/>
                    <pic:cNvPicPr>
                      <a:picLocks noChangeAspect="1" noChangeArrowheads="1"/>
                    </pic:cNvPicPr>
                  </pic:nvPicPr>
                  <pic:blipFill>
                    <a:blip r:embed="rId8" cstate="print"/>
                    <a:srcRect/>
                    <a:stretch>
                      <a:fillRect/>
                    </a:stretch>
                  </pic:blipFill>
                  <pic:spPr bwMode="auto">
                    <a:xfrm>
                      <a:off x="0" y="0"/>
                      <a:ext cx="5774690" cy="3413760"/>
                    </a:xfrm>
                    <a:prstGeom prst="rect">
                      <a:avLst/>
                    </a:prstGeom>
                    <a:noFill/>
                    <a:ln w="9525">
                      <a:noFill/>
                      <a:miter lim="800000"/>
                      <a:headEnd/>
                      <a:tailEnd/>
                    </a:ln>
                  </pic:spPr>
                </pic:pic>
              </a:graphicData>
            </a:graphic>
          </wp:anchor>
        </w:drawing>
      </w:r>
    </w:p>
    <w:p w:rsidR="008807CD" w:rsidRPr="00FE3F4D" w:rsidRDefault="008807CD" w:rsidP="005A79B2">
      <w:pPr>
        <w:tabs>
          <w:tab w:val="left" w:pos="945"/>
        </w:tabs>
        <w:jc w:val="center"/>
        <w:rPr>
          <w:rFonts w:cs="Arial"/>
          <w:b/>
        </w:rPr>
      </w:pPr>
      <w:r w:rsidRPr="00FE3F4D">
        <w:rPr>
          <w:rFonts w:cs="Arial"/>
          <w:b/>
        </w:rPr>
        <w:t>DRAFT</w:t>
      </w:r>
    </w:p>
    <w:p w:rsidR="008807CD" w:rsidRPr="00FE3F4D" w:rsidRDefault="008807CD" w:rsidP="005A79B2">
      <w:pPr>
        <w:tabs>
          <w:tab w:val="left" w:pos="945"/>
        </w:tabs>
        <w:jc w:val="center"/>
        <w:rPr>
          <w:rFonts w:cs="Arial"/>
        </w:rPr>
      </w:pPr>
      <w:r w:rsidRPr="00FE3F4D">
        <w:rPr>
          <w:rFonts w:cs="Arial"/>
        </w:rPr>
        <w:t>Not for further circulation</w:t>
      </w:r>
    </w:p>
    <w:p w:rsidR="00865D9A" w:rsidRPr="00FE3F4D" w:rsidRDefault="00865D9A" w:rsidP="00865D9A">
      <w:pPr>
        <w:tabs>
          <w:tab w:val="left" w:pos="945"/>
        </w:tabs>
        <w:rPr>
          <w:rFonts w:cs="Arial"/>
          <w:sz w:val="32"/>
        </w:rPr>
      </w:pPr>
    </w:p>
    <w:p w:rsidR="00865D9A" w:rsidRPr="00FE3F4D" w:rsidRDefault="00865D9A" w:rsidP="00865D9A">
      <w:pPr>
        <w:tabs>
          <w:tab w:val="left" w:pos="945"/>
        </w:tabs>
        <w:rPr>
          <w:rFonts w:cs="Arial"/>
          <w:sz w:val="32"/>
        </w:rPr>
      </w:pPr>
    </w:p>
    <w:p w:rsidR="00865D9A" w:rsidRPr="00FE3F4D" w:rsidRDefault="00865D9A" w:rsidP="005A79B2">
      <w:pPr>
        <w:tabs>
          <w:tab w:val="left" w:pos="945"/>
        </w:tabs>
        <w:jc w:val="center"/>
        <w:rPr>
          <w:rFonts w:cs="Arial"/>
          <w:sz w:val="32"/>
        </w:rPr>
      </w:pPr>
      <w:r w:rsidRPr="00FE3F4D">
        <w:rPr>
          <w:rFonts w:cs="Arial"/>
          <w:sz w:val="32"/>
        </w:rPr>
        <w:t xml:space="preserve">Deliverable number </w:t>
      </w:r>
      <w:r w:rsidR="00E63D27">
        <w:rPr>
          <w:rFonts w:cs="Arial"/>
          <w:sz w:val="32"/>
        </w:rPr>
        <w:t>4.2</w:t>
      </w:r>
    </w:p>
    <w:p w:rsidR="00865D9A" w:rsidRPr="00634F3B" w:rsidRDefault="00865D9A" w:rsidP="00865D9A">
      <w:pPr>
        <w:tabs>
          <w:tab w:val="left" w:pos="945"/>
        </w:tabs>
        <w:rPr>
          <w:sz w:val="32"/>
        </w:rPr>
      </w:pPr>
    </w:p>
    <w:p w:rsidR="00865D9A" w:rsidRPr="00634F3B" w:rsidRDefault="00865D9A" w:rsidP="00D4524D">
      <w:pPr>
        <w:tabs>
          <w:tab w:val="left" w:pos="945"/>
        </w:tabs>
      </w:pPr>
    </w:p>
    <w:p w:rsidR="00865D9A" w:rsidRDefault="00E63D27" w:rsidP="005A79B2">
      <w:pPr>
        <w:tabs>
          <w:tab w:val="left" w:pos="945"/>
        </w:tabs>
        <w:jc w:val="center"/>
        <w:rPr>
          <w:rFonts w:cs="Arial"/>
          <w:b/>
          <w:sz w:val="32"/>
          <w:szCs w:val="32"/>
          <w:lang w:val="en-US" w:eastAsia="sv-SE"/>
        </w:rPr>
      </w:pPr>
      <w:r>
        <w:rPr>
          <w:rFonts w:cs="Arial"/>
          <w:b/>
          <w:sz w:val="32"/>
          <w:szCs w:val="32"/>
          <w:lang w:val="en-US" w:eastAsia="sv-SE"/>
        </w:rPr>
        <w:t>C</w:t>
      </w:r>
      <w:r w:rsidRPr="00E63D27">
        <w:rPr>
          <w:rFonts w:cs="Arial"/>
          <w:b/>
          <w:sz w:val="32"/>
          <w:szCs w:val="32"/>
          <w:lang w:val="en-US" w:eastAsia="sv-SE"/>
        </w:rPr>
        <w:t>onsequences of imposing upgraded</w:t>
      </w:r>
      <w:r w:rsidR="005A79B2">
        <w:rPr>
          <w:rFonts w:cs="Arial"/>
          <w:b/>
          <w:sz w:val="32"/>
          <w:szCs w:val="32"/>
          <w:lang w:val="en-US" w:eastAsia="sv-SE"/>
        </w:rPr>
        <w:t xml:space="preserve"> animal welfare</w:t>
      </w:r>
      <w:r w:rsidRPr="00E63D27">
        <w:rPr>
          <w:rFonts w:cs="Arial"/>
          <w:b/>
          <w:sz w:val="32"/>
          <w:szCs w:val="32"/>
          <w:lang w:val="en-US" w:eastAsia="sv-SE"/>
        </w:rPr>
        <w:t xml:space="preserve"> standards through the distribution chain</w:t>
      </w:r>
      <w:r w:rsidR="000C002D">
        <w:rPr>
          <w:rFonts w:cs="Arial"/>
          <w:b/>
          <w:sz w:val="32"/>
          <w:szCs w:val="32"/>
          <w:lang w:val="en-US" w:eastAsia="sv-SE"/>
        </w:rPr>
        <w:t xml:space="preserve"> – A socio-economic analysis </w:t>
      </w:r>
    </w:p>
    <w:p w:rsidR="00FE3F4D" w:rsidRDefault="00FE3F4D" w:rsidP="00865D9A">
      <w:pPr>
        <w:tabs>
          <w:tab w:val="left" w:pos="945"/>
        </w:tabs>
        <w:rPr>
          <w:rFonts w:cs="Arial"/>
          <w:b/>
          <w:sz w:val="32"/>
          <w:szCs w:val="32"/>
          <w:lang w:val="en-US" w:eastAsia="sv-SE"/>
        </w:rPr>
      </w:pPr>
    </w:p>
    <w:p w:rsidR="00FE3F4D" w:rsidRDefault="00FE3F4D" w:rsidP="00865D9A">
      <w:pPr>
        <w:tabs>
          <w:tab w:val="left" w:pos="945"/>
        </w:tabs>
        <w:rPr>
          <w:rFonts w:cs="Arial"/>
          <w:b/>
          <w:sz w:val="32"/>
          <w:szCs w:val="32"/>
          <w:lang w:val="en-US" w:eastAsia="sv-SE"/>
        </w:rPr>
      </w:pPr>
    </w:p>
    <w:p w:rsidR="00FE3F4D" w:rsidRPr="00FE3F4D" w:rsidRDefault="00E63D27" w:rsidP="005A79B2">
      <w:pPr>
        <w:tabs>
          <w:tab w:val="left" w:pos="945"/>
        </w:tabs>
        <w:jc w:val="center"/>
        <w:rPr>
          <w:rFonts w:cs="Arial"/>
          <w:sz w:val="32"/>
          <w:szCs w:val="32"/>
        </w:rPr>
      </w:pPr>
      <w:r>
        <w:rPr>
          <w:rFonts w:cs="Arial"/>
          <w:sz w:val="32"/>
          <w:szCs w:val="32"/>
          <w:lang w:val="en-US" w:eastAsia="sv-SE"/>
        </w:rPr>
        <w:t>David Harvey and Carmen Hubbard</w:t>
      </w:r>
    </w:p>
    <w:p w:rsidR="00865D9A" w:rsidRPr="00D4524D" w:rsidRDefault="00865D9A" w:rsidP="00865D9A">
      <w:pPr>
        <w:tabs>
          <w:tab w:val="left" w:pos="945"/>
        </w:tabs>
        <w:rPr>
          <w:lang w:val="en-US"/>
        </w:rPr>
      </w:pPr>
    </w:p>
    <w:p w:rsidR="00865D9A" w:rsidRPr="00D4524D" w:rsidRDefault="00865D9A" w:rsidP="00865D9A">
      <w:pPr>
        <w:tabs>
          <w:tab w:val="left" w:pos="945"/>
        </w:tabs>
        <w:rPr>
          <w:lang w:val="en-US"/>
        </w:rPr>
      </w:pPr>
    </w:p>
    <w:p w:rsidR="00865D9A" w:rsidRPr="00D4524D" w:rsidRDefault="00865D9A" w:rsidP="00865D9A">
      <w:pPr>
        <w:tabs>
          <w:tab w:val="left" w:pos="945"/>
        </w:tabs>
        <w:rPr>
          <w:lang w:val="en-US"/>
        </w:rPr>
      </w:pPr>
    </w:p>
    <w:p w:rsidR="00865D9A" w:rsidRPr="00EB1730" w:rsidRDefault="00865D9A" w:rsidP="00EB1730">
      <w:pPr>
        <w:pStyle w:val="Title"/>
        <w:rPr>
          <w:sz w:val="22"/>
          <w:szCs w:val="22"/>
        </w:rPr>
      </w:pPr>
      <w:r w:rsidRPr="00634F3B">
        <w:rPr>
          <w:b/>
          <w:sz w:val="22"/>
          <w:szCs w:val="22"/>
        </w:rPr>
        <w:t>List of contributors</w:t>
      </w:r>
    </w:p>
    <w:p w:rsidR="00FE3F4D" w:rsidRPr="00634F3B" w:rsidRDefault="00FE3F4D" w:rsidP="005A79B2">
      <w:pPr>
        <w:spacing w:after="0"/>
        <w:rPr>
          <w:rFonts w:cs="Arial"/>
          <w:b/>
          <w:szCs w:val="22"/>
        </w:rPr>
      </w:pPr>
    </w:p>
    <w:p w:rsidR="00865D9A" w:rsidRPr="00634F3B" w:rsidRDefault="008807CD" w:rsidP="005A79B2">
      <w:pPr>
        <w:spacing w:after="0"/>
        <w:rPr>
          <w:rFonts w:cs="Arial"/>
          <w:szCs w:val="22"/>
        </w:rPr>
      </w:pPr>
      <w:r>
        <w:rPr>
          <w:rFonts w:cs="Arial"/>
          <w:szCs w:val="22"/>
        </w:rPr>
        <w:t xml:space="preserve">NL:      </w:t>
      </w:r>
      <w:r w:rsidR="00865D9A" w:rsidRPr="00634F3B">
        <w:rPr>
          <w:rFonts w:cs="Arial"/>
          <w:szCs w:val="22"/>
        </w:rPr>
        <w:t xml:space="preserve">Animal Sciences Group </w:t>
      </w:r>
      <w:proofErr w:type="spellStart"/>
      <w:r w:rsidR="00865D9A" w:rsidRPr="00634F3B">
        <w:rPr>
          <w:rFonts w:cs="Arial"/>
          <w:szCs w:val="22"/>
        </w:rPr>
        <w:t>Veehouderij</w:t>
      </w:r>
      <w:proofErr w:type="spellEnd"/>
      <w:r w:rsidR="00865D9A" w:rsidRPr="00634F3B">
        <w:rPr>
          <w:rFonts w:cs="Arial"/>
          <w:szCs w:val="22"/>
        </w:rPr>
        <w:t xml:space="preserve"> B.V. (WUR-ASG)</w:t>
      </w:r>
    </w:p>
    <w:p w:rsidR="00865D9A" w:rsidRPr="0051703A" w:rsidRDefault="00865D9A" w:rsidP="005A79B2">
      <w:pPr>
        <w:spacing w:after="0"/>
        <w:ind w:firstLine="708"/>
        <w:rPr>
          <w:rFonts w:cs="Arial"/>
          <w:szCs w:val="22"/>
          <w:lang w:val="sv-SE"/>
        </w:rPr>
      </w:pPr>
      <w:r w:rsidRPr="0051703A">
        <w:rPr>
          <w:rFonts w:cs="Arial"/>
          <w:szCs w:val="22"/>
          <w:lang w:val="sv-SE"/>
        </w:rPr>
        <w:t xml:space="preserve">Hans </w:t>
      </w:r>
      <w:proofErr w:type="spellStart"/>
      <w:r w:rsidRPr="0051703A">
        <w:rPr>
          <w:rFonts w:cs="Arial"/>
          <w:szCs w:val="22"/>
          <w:lang w:val="sv-SE"/>
        </w:rPr>
        <w:t>Spoolder</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 xml:space="preserve">., </w:t>
      </w:r>
      <w:proofErr w:type="spellStart"/>
      <w:r w:rsidRPr="0051703A">
        <w:rPr>
          <w:rFonts w:cs="Arial"/>
          <w:szCs w:val="22"/>
          <w:lang w:val="sv-SE"/>
        </w:rPr>
        <w:t>Martien</w:t>
      </w:r>
      <w:proofErr w:type="spellEnd"/>
      <w:r w:rsidRPr="0051703A">
        <w:rPr>
          <w:rFonts w:cs="Arial"/>
          <w:szCs w:val="22"/>
          <w:lang w:val="sv-SE"/>
        </w:rPr>
        <w:t xml:space="preserve"> </w:t>
      </w:r>
      <w:proofErr w:type="spellStart"/>
      <w:r w:rsidRPr="0051703A">
        <w:rPr>
          <w:rFonts w:cs="Arial"/>
          <w:szCs w:val="22"/>
          <w:lang w:val="sv-SE"/>
        </w:rPr>
        <w:t>Bokma</w:t>
      </w:r>
      <w:proofErr w:type="spellEnd"/>
      <w:r w:rsidRPr="0051703A">
        <w:rPr>
          <w:rFonts w:cs="Arial"/>
          <w:szCs w:val="22"/>
          <w:lang w:val="sv-SE"/>
        </w:rPr>
        <w:t xml:space="preserve">, </w:t>
      </w:r>
      <w:proofErr w:type="spellStart"/>
      <w:r w:rsidRPr="0051703A">
        <w:rPr>
          <w:rFonts w:cs="Arial"/>
          <w:szCs w:val="22"/>
          <w:lang w:val="sv-SE"/>
        </w:rPr>
        <w:t>M</w:t>
      </w:r>
      <w:proofErr w:type="gramStart"/>
      <w:r w:rsidRPr="0051703A">
        <w:rPr>
          <w:rFonts w:cs="Arial"/>
          <w:szCs w:val="22"/>
          <w:lang w:val="sv-SE"/>
        </w:rPr>
        <w:t>.Sc</w:t>
      </w:r>
      <w:proofErr w:type="spellEnd"/>
      <w:proofErr w:type="gramEnd"/>
      <w:r w:rsidRPr="0051703A">
        <w:rPr>
          <w:rFonts w:cs="Arial"/>
          <w:szCs w:val="22"/>
          <w:lang w:val="sv-SE"/>
        </w:rPr>
        <w:t xml:space="preserve">., Anke de </w:t>
      </w:r>
      <w:proofErr w:type="spellStart"/>
      <w:r w:rsidRPr="0051703A">
        <w:rPr>
          <w:rFonts w:cs="Arial"/>
          <w:szCs w:val="22"/>
          <w:lang w:val="sv-SE"/>
        </w:rPr>
        <w:t>Lorm</w:t>
      </w:r>
      <w:proofErr w:type="spellEnd"/>
      <w:r w:rsidRPr="0051703A">
        <w:rPr>
          <w:rFonts w:cs="Arial"/>
          <w:szCs w:val="22"/>
          <w:lang w:val="sv-SE"/>
        </w:rPr>
        <w:t xml:space="preserve"> </w:t>
      </w:r>
    </w:p>
    <w:p w:rsidR="00865D9A" w:rsidRPr="0051703A" w:rsidRDefault="00865D9A" w:rsidP="005A79B2">
      <w:pPr>
        <w:spacing w:after="0"/>
        <w:ind w:firstLine="708"/>
        <w:rPr>
          <w:rFonts w:cs="Arial"/>
          <w:szCs w:val="22"/>
          <w:lang w:val="sv-SE"/>
        </w:rPr>
      </w:pPr>
      <w:proofErr w:type="spellStart"/>
      <w:r w:rsidRPr="0051703A">
        <w:rPr>
          <w:rFonts w:cs="Arial"/>
          <w:szCs w:val="22"/>
          <w:lang w:val="sv-SE"/>
        </w:rPr>
        <w:t>Landbouw-Economisch</w:t>
      </w:r>
      <w:proofErr w:type="spellEnd"/>
      <w:r w:rsidRPr="0051703A">
        <w:rPr>
          <w:rFonts w:cs="Arial"/>
          <w:szCs w:val="22"/>
          <w:lang w:val="sv-SE"/>
        </w:rPr>
        <w:t xml:space="preserve"> </w:t>
      </w:r>
      <w:proofErr w:type="spellStart"/>
      <w:r w:rsidRPr="0051703A">
        <w:rPr>
          <w:rFonts w:cs="Arial"/>
          <w:szCs w:val="22"/>
          <w:lang w:val="sv-SE"/>
        </w:rPr>
        <w:t>Instituut</w:t>
      </w:r>
      <w:proofErr w:type="spellEnd"/>
      <w:r w:rsidRPr="0051703A">
        <w:rPr>
          <w:rFonts w:cs="Arial"/>
          <w:szCs w:val="22"/>
          <w:lang w:val="sv-SE"/>
        </w:rPr>
        <w:t xml:space="preserve"> B.V. (WUR-SSG)</w:t>
      </w:r>
    </w:p>
    <w:p w:rsidR="00865D9A" w:rsidRPr="00A1002E" w:rsidRDefault="00865D9A" w:rsidP="005A79B2">
      <w:pPr>
        <w:spacing w:after="0"/>
        <w:ind w:firstLine="708"/>
        <w:rPr>
          <w:rFonts w:cs="Arial"/>
          <w:szCs w:val="22"/>
          <w:lang w:val="en-US"/>
        </w:rPr>
      </w:pPr>
      <w:proofErr w:type="spellStart"/>
      <w:r w:rsidRPr="00A1002E">
        <w:rPr>
          <w:rFonts w:cs="Arial"/>
          <w:szCs w:val="22"/>
          <w:lang w:val="en-US"/>
        </w:rPr>
        <w:t>Gé</w:t>
      </w:r>
      <w:proofErr w:type="spellEnd"/>
      <w:r w:rsidRPr="00A1002E">
        <w:rPr>
          <w:rFonts w:cs="Arial"/>
          <w:szCs w:val="22"/>
          <w:lang w:val="en-US"/>
        </w:rPr>
        <w:t xml:space="preserve"> Backus Ph.D., Paul </w:t>
      </w:r>
      <w:proofErr w:type="spellStart"/>
      <w:r w:rsidRPr="00A1002E">
        <w:rPr>
          <w:rFonts w:cs="Arial"/>
          <w:szCs w:val="22"/>
          <w:lang w:val="en-US"/>
        </w:rPr>
        <w:t>Ingenbleek</w:t>
      </w:r>
      <w:proofErr w:type="spellEnd"/>
      <w:r w:rsidRPr="00A1002E">
        <w:rPr>
          <w:rFonts w:cs="Arial"/>
          <w:szCs w:val="22"/>
          <w:lang w:val="en-US"/>
        </w:rPr>
        <w:t xml:space="preserve"> Ph.D., Victor </w:t>
      </w:r>
      <w:proofErr w:type="spellStart"/>
      <w:r w:rsidRPr="00A1002E">
        <w:rPr>
          <w:rFonts w:cs="Arial"/>
          <w:szCs w:val="22"/>
          <w:lang w:val="en-US"/>
        </w:rPr>
        <w:t>Immink</w:t>
      </w:r>
      <w:proofErr w:type="spellEnd"/>
      <w:r w:rsidRPr="00A1002E">
        <w:rPr>
          <w:rFonts w:cs="Arial"/>
          <w:szCs w:val="22"/>
          <w:lang w:val="en-US"/>
        </w:rPr>
        <w:t xml:space="preserve"> M.Sc. </w:t>
      </w:r>
    </w:p>
    <w:p w:rsidR="00865D9A" w:rsidRPr="00634F3B" w:rsidRDefault="008807CD" w:rsidP="005A79B2">
      <w:pPr>
        <w:spacing w:after="0"/>
        <w:rPr>
          <w:rFonts w:cs="Arial"/>
          <w:szCs w:val="22"/>
        </w:rPr>
      </w:pPr>
      <w:r>
        <w:rPr>
          <w:rFonts w:cs="Arial"/>
          <w:szCs w:val="22"/>
        </w:rPr>
        <w:t xml:space="preserve">IT:      </w:t>
      </w:r>
      <w:r w:rsidR="00865D9A" w:rsidRPr="00634F3B">
        <w:rPr>
          <w:rFonts w:cs="Arial"/>
          <w:szCs w:val="22"/>
        </w:rPr>
        <w:t xml:space="preserve">Centro </w:t>
      </w:r>
      <w:proofErr w:type="spellStart"/>
      <w:r w:rsidR="00865D9A" w:rsidRPr="00634F3B">
        <w:rPr>
          <w:rFonts w:cs="Arial"/>
          <w:szCs w:val="22"/>
        </w:rPr>
        <w:t>Ricerche</w:t>
      </w:r>
      <w:proofErr w:type="spellEnd"/>
      <w:r w:rsidR="00865D9A" w:rsidRPr="00634F3B">
        <w:rPr>
          <w:rFonts w:cs="Arial"/>
          <w:szCs w:val="22"/>
        </w:rPr>
        <w:t xml:space="preserve"> </w:t>
      </w:r>
      <w:proofErr w:type="spellStart"/>
      <w:r w:rsidR="00865D9A" w:rsidRPr="00634F3B">
        <w:rPr>
          <w:rFonts w:cs="Arial"/>
          <w:szCs w:val="22"/>
        </w:rPr>
        <w:t>Produzioni</w:t>
      </w:r>
      <w:proofErr w:type="spellEnd"/>
      <w:r w:rsidR="00865D9A" w:rsidRPr="00634F3B">
        <w:rPr>
          <w:rFonts w:cs="Arial"/>
          <w:szCs w:val="22"/>
        </w:rPr>
        <w:t xml:space="preserve"> </w:t>
      </w:r>
      <w:proofErr w:type="spellStart"/>
      <w:r w:rsidR="00865D9A" w:rsidRPr="00634F3B">
        <w:rPr>
          <w:rFonts w:cs="Arial"/>
          <w:szCs w:val="22"/>
        </w:rPr>
        <w:t>Animali</w:t>
      </w:r>
      <w:proofErr w:type="spellEnd"/>
      <w:r w:rsidR="00865D9A" w:rsidRPr="00634F3B">
        <w:rPr>
          <w:rFonts w:cs="Arial"/>
          <w:szCs w:val="22"/>
        </w:rPr>
        <w:t xml:space="preserve"> </w:t>
      </w:r>
      <w:proofErr w:type="spellStart"/>
      <w:r w:rsidR="00865D9A" w:rsidRPr="00634F3B">
        <w:rPr>
          <w:rFonts w:cs="Arial"/>
          <w:szCs w:val="22"/>
        </w:rPr>
        <w:t>SpA</w:t>
      </w:r>
      <w:proofErr w:type="spellEnd"/>
      <w:r w:rsidR="00865D9A" w:rsidRPr="00634F3B">
        <w:rPr>
          <w:rFonts w:cs="Arial"/>
          <w:szCs w:val="22"/>
        </w:rPr>
        <w:t xml:space="preserve"> (CRPA)</w:t>
      </w:r>
    </w:p>
    <w:p w:rsidR="00865D9A" w:rsidRPr="00634F3B" w:rsidRDefault="00865D9A" w:rsidP="005A79B2">
      <w:pPr>
        <w:spacing w:after="0"/>
        <w:ind w:left="708"/>
        <w:rPr>
          <w:rFonts w:cs="Arial"/>
          <w:szCs w:val="22"/>
        </w:rPr>
      </w:pPr>
      <w:proofErr w:type="spellStart"/>
      <w:r w:rsidRPr="00634F3B">
        <w:rPr>
          <w:rFonts w:cs="Arial"/>
          <w:szCs w:val="22"/>
        </w:rPr>
        <w:t>Kees</w:t>
      </w:r>
      <w:proofErr w:type="spellEnd"/>
      <w:r w:rsidRPr="00634F3B">
        <w:rPr>
          <w:rFonts w:cs="Arial"/>
          <w:szCs w:val="22"/>
        </w:rPr>
        <w:t xml:space="preserve"> de </w:t>
      </w:r>
      <w:proofErr w:type="spellStart"/>
      <w:r w:rsidRPr="00634F3B">
        <w:rPr>
          <w:rFonts w:cs="Arial"/>
          <w:szCs w:val="22"/>
        </w:rPr>
        <w:t>Roest</w:t>
      </w:r>
      <w:proofErr w:type="spellEnd"/>
      <w:r w:rsidRPr="00634F3B">
        <w:rPr>
          <w:rFonts w:cs="Arial"/>
          <w:szCs w:val="22"/>
        </w:rPr>
        <w:t xml:space="preserve"> Ph.D., Franco </w:t>
      </w:r>
      <w:proofErr w:type="spellStart"/>
      <w:r w:rsidRPr="00634F3B">
        <w:rPr>
          <w:rFonts w:cs="Arial"/>
          <w:szCs w:val="22"/>
        </w:rPr>
        <w:t>Torelli</w:t>
      </w:r>
      <w:proofErr w:type="spellEnd"/>
      <w:r w:rsidRPr="00634F3B">
        <w:rPr>
          <w:rFonts w:cs="Arial"/>
          <w:szCs w:val="22"/>
        </w:rPr>
        <w:t xml:space="preserve"> M.Sc., Alberto </w:t>
      </w:r>
      <w:proofErr w:type="spellStart"/>
      <w:r w:rsidRPr="00634F3B">
        <w:rPr>
          <w:rFonts w:cs="Arial"/>
          <w:szCs w:val="22"/>
        </w:rPr>
        <w:t>Menghi</w:t>
      </w:r>
      <w:proofErr w:type="spellEnd"/>
      <w:r w:rsidRPr="00634F3B">
        <w:rPr>
          <w:rFonts w:cs="Arial"/>
          <w:szCs w:val="22"/>
        </w:rPr>
        <w:t xml:space="preserve"> M.Sc., Paolo Rossi M.Sc., Paolo Ferrari M.Sc.</w:t>
      </w:r>
    </w:p>
    <w:p w:rsidR="00865D9A" w:rsidRPr="0051703A" w:rsidRDefault="008807CD" w:rsidP="005A79B2">
      <w:pPr>
        <w:spacing w:after="0"/>
        <w:rPr>
          <w:rFonts w:cs="Arial"/>
          <w:szCs w:val="22"/>
          <w:lang w:val="sv-SE"/>
        </w:rPr>
      </w:pPr>
      <w:proofErr w:type="gramStart"/>
      <w:r>
        <w:rPr>
          <w:rFonts w:cs="Arial"/>
          <w:szCs w:val="22"/>
          <w:lang w:val="sv-SE"/>
        </w:rPr>
        <w:t xml:space="preserve">CH:     </w:t>
      </w:r>
      <w:proofErr w:type="spellStart"/>
      <w:r w:rsidR="00865D9A" w:rsidRPr="0051703A">
        <w:rPr>
          <w:rFonts w:cs="Arial"/>
          <w:szCs w:val="22"/>
          <w:lang w:val="sv-SE"/>
        </w:rPr>
        <w:t>Forschungsinstitut</w:t>
      </w:r>
      <w:proofErr w:type="spellEnd"/>
      <w:proofErr w:type="gramEnd"/>
      <w:r w:rsidR="00865D9A" w:rsidRPr="0051703A">
        <w:rPr>
          <w:rFonts w:cs="Arial"/>
          <w:szCs w:val="22"/>
          <w:lang w:val="sv-SE"/>
        </w:rPr>
        <w:t xml:space="preserve"> für </w:t>
      </w:r>
      <w:proofErr w:type="spellStart"/>
      <w:r w:rsidR="00865D9A" w:rsidRPr="0051703A">
        <w:rPr>
          <w:rFonts w:cs="Arial"/>
          <w:szCs w:val="22"/>
          <w:lang w:val="sv-SE"/>
        </w:rPr>
        <w:t>biologischen</w:t>
      </w:r>
      <w:proofErr w:type="spellEnd"/>
      <w:r w:rsidR="00865D9A" w:rsidRPr="0051703A">
        <w:rPr>
          <w:rFonts w:cs="Arial"/>
          <w:szCs w:val="22"/>
          <w:lang w:val="sv-SE"/>
        </w:rPr>
        <w:t xml:space="preserve"> </w:t>
      </w:r>
      <w:proofErr w:type="spellStart"/>
      <w:r w:rsidR="00865D9A" w:rsidRPr="0051703A">
        <w:rPr>
          <w:rFonts w:cs="Arial"/>
          <w:szCs w:val="22"/>
          <w:lang w:val="sv-SE"/>
        </w:rPr>
        <w:t>Landbau</w:t>
      </w:r>
      <w:proofErr w:type="spellEnd"/>
      <w:r w:rsidR="00865D9A" w:rsidRPr="0051703A">
        <w:rPr>
          <w:rFonts w:cs="Arial"/>
          <w:szCs w:val="22"/>
          <w:lang w:val="sv-SE"/>
        </w:rPr>
        <w:t xml:space="preserve"> (</w:t>
      </w:r>
      <w:proofErr w:type="spellStart"/>
      <w:r w:rsidR="00865D9A" w:rsidRPr="0051703A">
        <w:rPr>
          <w:rFonts w:cs="Arial"/>
          <w:szCs w:val="22"/>
          <w:lang w:val="sv-SE"/>
        </w:rPr>
        <w:t>FiBL</w:t>
      </w:r>
      <w:proofErr w:type="spellEnd"/>
      <w:r w:rsidR="00865D9A" w:rsidRPr="0051703A">
        <w:rPr>
          <w:rFonts w:cs="Arial"/>
          <w:szCs w:val="22"/>
          <w:lang w:val="sv-SE"/>
        </w:rPr>
        <w:t>)</w:t>
      </w:r>
    </w:p>
    <w:p w:rsidR="00865D9A" w:rsidRPr="0051703A" w:rsidRDefault="00865D9A" w:rsidP="005A79B2">
      <w:pPr>
        <w:spacing w:after="0"/>
        <w:ind w:firstLine="708"/>
        <w:rPr>
          <w:rFonts w:cs="Arial"/>
          <w:szCs w:val="22"/>
          <w:lang w:val="sv-SE"/>
        </w:rPr>
      </w:pPr>
      <w:r w:rsidRPr="0051703A">
        <w:rPr>
          <w:rFonts w:cs="Arial"/>
          <w:szCs w:val="22"/>
          <w:lang w:val="sv-SE"/>
        </w:rPr>
        <w:t xml:space="preserve">Otto Schmid, </w:t>
      </w:r>
      <w:proofErr w:type="spellStart"/>
      <w:r w:rsidRPr="0051703A">
        <w:rPr>
          <w:rFonts w:cs="Arial"/>
          <w:szCs w:val="22"/>
          <w:lang w:val="sv-SE"/>
        </w:rPr>
        <w:t>Jürn</w:t>
      </w:r>
      <w:proofErr w:type="spellEnd"/>
      <w:r w:rsidRPr="0051703A">
        <w:rPr>
          <w:rFonts w:cs="Arial"/>
          <w:szCs w:val="22"/>
          <w:lang w:val="sv-SE"/>
        </w:rPr>
        <w:t xml:space="preserve"> Sanders </w:t>
      </w:r>
      <w:proofErr w:type="spellStart"/>
      <w:r w:rsidRPr="0051703A">
        <w:rPr>
          <w:rFonts w:cs="Arial"/>
          <w:szCs w:val="22"/>
          <w:lang w:val="sv-SE"/>
        </w:rPr>
        <w:t>Ph.D</w:t>
      </w:r>
      <w:proofErr w:type="spellEnd"/>
      <w:r w:rsidRPr="0051703A">
        <w:rPr>
          <w:rFonts w:cs="Arial"/>
          <w:szCs w:val="22"/>
          <w:lang w:val="sv-SE"/>
        </w:rPr>
        <w:t xml:space="preserve">., </w:t>
      </w:r>
      <w:proofErr w:type="spellStart"/>
      <w:r w:rsidRPr="0051703A">
        <w:rPr>
          <w:rFonts w:cs="Arial"/>
          <w:szCs w:val="22"/>
          <w:lang w:val="sv-SE"/>
        </w:rPr>
        <w:t>Rahel</w:t>
      </w:r>
      <w:proofErr w:type="spellEnd"/>
      <w:r w:rsidRPr="0051703A">
        <w:rPr>
          <w:rFonts w:cs="Arial"/>
          <w:szCs w:val="22"/>
          <w:lang w:val="sv-SE"/>
        </w:rPr>
        <w:t xml:space="preserve"> </w:t>
      </w:r>
      <w:proofErr w:type="spellStart"/>
      <w:r w:rsidRPr="0051703A">
        <w:rPr>
          <w:rFonts w:cs="Arial"/>
          <w:szCs w:val="22"/>
          <w:lang w:val="sv-SE"/>
        </w:rPr>
        <w:t>Kilchsperger</w:t>
      </w:r>
      <w:proofErr w:type="spellEnd"/>
    </w:p>
    <w:p w:rsidR="00865D9A" w:rsidRPr="0051703A" w:rsidRDefault="008807CD" w:rsidP="005A79B2">
      <w:pPr>
        <w:spacing w:after="0"/>
        <w:rPr>
          <w:rFonts w:cs="Arial"/>
          <w:szCs w:val="22"/>
          <w:lang w:val="sv-SE"/>
        </w:rPr>
      </w:pPr>
      <w:proofErr w:type="gramStart"/>
      <w:r>
        <w:rPr>
          <w:rFonts w:cs="Arial"/>
          <w:szCs w:val="22"/>
          <w:lang w:val="sv-SE"/>
        </w:rPr>
        <w:t xml:space="preserve">PL:      </w:t>
      </w:r>
      <w:proofErr w:type="spellStart"/>
      <w:r w:rsidR="00865D9A" w:rsidRPr="0051703A">
        <w:rPr>
          <w:rFonts w:cs="Arial"/>
          <w:szCs w:val="22"/>
          <w:lang w:val="sv-SE"/>
        </w:rPr>
        <w:t>Szko</w:t>
      </w:r>
      <w:proofErr w:type="gramEnd"/>
      <w:r w:rsidR="00865D9A" w:rsidRPr="0051703A">
        <w:rPr>
          <w:rFonts w:cs="Arial"/>
          <w:szCs w:val="22"/>
          <w:lang w:val="sv-SE"/>
        </w:rPr>
        <w:t>ła</w:t>
      </w:r>
      <w:proofErr w:type="spellEnd"/>
      <w:r w:rsidR="00865D9A" w:rsidRPr="0051703A">
        <w:rPr>
          <w:rFonts w:cs="Arial"/>
          <w:szCs w:val="22"/>
          <w:lang w:val="sv-SE"/>
        </w:rPr>
        <w:t xml:space="preserve"> </w:t>
      </w:r>
      <w:proofErr w:type="spellStart"/>
      <w:r w:rsidR="00865D9A" w:rsidRPr="0051703A">
        <w:rPr>
          <w:rFonts w:cs="Arial"/>
          <w:szCs w:val="22"/>
          <w:lang w:val="sv-SE"/>
        </w:rPr>
        <w:t>Główna</w:t>
      </w:r>
      <w:proofErr w:type="spellEnd"/>
      <w:r w:rsidR="00865D9A" w:rsidRPr="0051703A">
        <w:rPr>
          <w:rFonts w:cs="Arial"/>
          <w:szCs w:val="22"/>
          <w:lang w:val="sv-SE"/>
        </w:rPr>
        <w:t xml:space="preserve"> </w:t>
      </w:r>
      <w:proofErr w:type="spellStart"/>
      <w:r w:rsidR="00865D9A" w:rsidRPr="0051703A">
        <w:rPr>
          <w:rFonts w:cs="Arial"/>
          <w:szCs w:val="22"/>
          <w:lang w:val="sv-SE"/>
        </w:rPr>
        <w:t>Gospodarstwa</w:t>
      </w:r>
      <w:proofErr w:type="spellEnd"/>
      <w:r w:rsidR="00865D9A" w:rsidRPr="0051703A">
        <w:rPr>
          <w:rFonts w:cs="Arial"/>
          <w:szCs w:val="22"/>
          <w:lang w:val="sv-SE"/>
        </w:rPr>
        <w:t xml:space="preserve"> </w:t>
      </w:r>
      <w:proofErr w:type="spellStart"/>
      <w:r w:rsidR="00865D9A" w:rsidRPr="0051703A">
        <w:rPr>
          <w:rFonts w:cs="Arial"/>
          <w:szCs w:val="22"/>
          <w:lang w:val="sv-SE"/>
        </w:rPr>
        <w:t>Wiejskiego</w:t>
      </w:r>
      <w:proofErr w:type="spellEnd"/>
      <w:r w:rsidR="00865D9A" w:rsidRPr="0051703A">
        <w:rPr>
          <w:rFonts w:cs="Arial"/>
          <w:szCs w:val="22"/>
          <w:lang w:val="sv-SE"/>
        </w:rPr>
        <w:t xml:space="preserve"> (SSGW)</w:t>
      </w:r>
    </w:p>
    <w:p w:rsidR="00865D9A" w:rsidRPr="0051703A" w:rsidRDefault="0098337E" w:rsidP="005A79B2">
      <w:pPr>
        <w:spacing w:after="0"/>
        <w:ind w:left="708"/>
        <w:rPr>
          <w:rFonts w:cs="Arial"/>
          <w:szCs w:val="22"/>
          <w:lang w:val="sv-SE"/>
        </w:rPr>
      </w:pPr>
      <w:r>
        <w:rPr>
          <w:rFonts w:cs="Arial"/>
          <w:szCs w:val="22"/>
          <w:lang w:val="sv-SE"/>
        </w:rPr>
        <w:t>Edward</w:t>
      </w:r>
      <w:r w:rsidR="00865D9A" w:rsidRPr="0051703A">
        <w:rPr>
          <w:rFonts w:cs="Arial"/>
          <w:szCs w:val="22"/>
          <w:lang w:val="sv-SE"/>
        </w:rPr>
        <w:t xml:space="preserve"> </w:t>
      </w:r>
      <w:proofErr w:type="spellStart"/>
      <w:r w:rsidR="00865D9A" w:rsidRPr="0051703A">
        <w:rPr>
          <w:rFonts w:cs="Arial"/>
          <w:szCs w:val="22"/>
          <w:lang w:val="sv-SE"/>
        </w:rPr>
        <w:t>Majewski</w:t>
      </w:r>
      <w:proofErr w:type="spellEnd"/>
      <w:r w:rsidR="00865D9A" w:rsidRPr="0051703A">
        <w:rPr>
          <w:rFonts w:cs="Arial"/>
          <w:szCs w:val="22"/>
          <w:lang w:val="sv-SE"/>
        </w:rPr>
        <w:t xml:space="preserve"> </w:t>
      </w:r>
      <w:proofErr w:type="spellStart"/>
      <w:r w:rsidR="00865D9A" w:rsidRPr="0051703A">
        <w:rPr>
          <w:rFonts w:cs="Arial"/>
          <w:szCs w:val="22"/>
          <w:lang w:val="sv-SE"/>
        </w:rPr>
        <w:t>Ph.D</w:t>
      </w:r>
      <w:proofErr w:type="spellEnd"/>
      <w:r w:rsidR="00865D9A" w:rsidRPr="0051703A">
        <w:rPr>
          <w:rFonts w:cs="Arial"/>
          <w:szCs w:val="22"/>
          <w:lang w:val="sv-SE"/>
        </w:rPr>
        <w:t xml:space="preserve">., Waldemar </w:t>
      </w:r>
      <w:proofErr w:type="spellStart"/>
      <w:r w:rsidR="00865D9A" w:rsidRPr="0051703A">
        <w:rPr>
          <w:rFonts w:cs="Arial"/>
          <w:szCs w:val="22"/>
          <w:lang w:val="sv-SE"/>
        </w:rPr>
        <w:t>Guba</w:t>
      </w:r>
      <w:proofErr w:type="spellEnd"/>
      <w:r w:rsidR="00865D9A" w:rsidRPr="0051703A">
        <w:rPr>
          <w:rFonts w:cs="Arial"/>
          <w:szCs w:val="22"/>
          <w:lang w:val="sv-SE"/>
        </w:rPr>
        <w:t xml:space="preserve"> </w:t>
      </w:r>
      <w:proofErr w:type="spellStart"/>
      <w:r w:rsidR="00865D9A" w:rsidRPr="0051703A">
        <w:rPr>
          <w:rFonts w:cs="Arial"/>
          <w:szCs w:val="22"/>
          <w:lang w:val="sv-SE"/>
        </w:rPr>
        <w:t>M</w:t>
      </w:r>
      <w:proofErr w:type="gramStart"/>
      <w:r w:rsidR="00865D9A" w:rsidRPr="0051703A">
        <w:rPr>
          <w:rFonts w:cs="Arial"/>
          <w:szCs w:val="22"/>
          <w:lang w:val="sv-SE"/>
        </w:rPr>
        <w:t>.Sc</w:t>
      </w:r>
      <w:proofErr w:type="spellEnd"/>
      <w:proofErr w:type="gramEnd"/>
      <w:r w:rsidR="00865D9A" w:rsidRPr="0051703A">
        <w:rPr>
          <w:rFonts w:cs="Arial"/>
          <w:szCs w:val="22"/>
          <w:lang w:val="sv-SE"/>
        </w:rPr>
        <w:t xml:space="preserve">., Agata </w:t>
      </w:r>
      <w:proofErr w:type="spellStart"/>
      <w:r w:rsidR="00865D9A" w:rsidRPr="0051703A">
        <w:rPr>
          <w:rFonts w:cs="Arial"/>
          <w:szCs w:val="22"/>
          <w:lang w:val="sv-SE"/>
        </w:rPr>
        <w:t>Malak-Rawlikowska</w:t>
      </w:r>
      <w:proofErr w:type="spellEnd"/>
      <w:r w:rsidR="00865D9A" w:rsidRPr="0051703A">
        <w:rPr>
          <w:rFonts w:cs="Arial"/>
          <w:szCs w:val="22"/>
          <w:lang w:val="sv-SE"/>
        </w:rPr>
        <w:t xml:space="preserve"> </w:t>
      </w:r>
      <w:proofErr w:type="spellStart"/>
      <w:r w:rsidR="00865D9A" w:rsidRPr="0051703A">
        <w:rPr>
          <w:rFonts w:cs="Arial"/>
          <w:szCs w:val="22"/>
          <w:lang w:val="sv-SE"/>
        </w:rPr>
        <w:t>Ph.D</w:t>
      </w:r>
      <w:proofErr w:type="spellEnd"/>
      <w:r w:rsidR="00865D9A" w:rsidRPr="0051703A">
        <w:rPr>
          <w:rFonts w:cs="Arial"/>
          <w:szCs w:val="22"/>
          <w:lang w:val="sv-SE"/>
        </w:rPr>
        <w:t xml:space="preserve">., Monika </w:t>
      </w:r>
      <w:proofErr w:type="spellStart"/>
      <w:r w:rsidR="00865D9A" w:rsidRPr="0051703A">
        <w:rPr>
          <w:rFonts w:cs="Arial"/>
          <w:szCs w:val="22"/>
          <w:lang w:val="sv-SE"/>
        </w:rPr>
        <w:t>Gebska</w:t>
      </w:r>
      <w:proofErr w:type="spellEnd"/>
      <w:r w:rsidR="00865D9A" w:rsidRPr="0051703A">
        <w:rPr>
          <w:rFonts w:cs="Arial"/>
          <w:szCs w:val="22"/>
          <w:lang w:val="sv-SE"/>
        </w:rPr>
        <w:t xml:space="preserve">, </w:t>
      </w:r>
      <w:proofErr w:type="spellStart"/>
      <w:r w:rsidR="00865D9A" w:rsidRPr="0051703A">
        <w:rPr>
          <w:rFonts w:cs="Arial"/>
          <w:szCs w:val="22"/>
          <w:lang w:val="sv-SE"/>
        </w:rPr>
        <w:t>Ph.D</w:t>
      </w:r>
      <w:proofErr w:type="spellEnd"/>
      <w:r w:rsidR="00865D9A" w:rsidRPr="0051703A">
        <w:rPr>
          <w:rFonts w:cs="Arial"/>
          <w:szCs w:val="22"/>
          <w:lang w:val="sv-SE"/>
        </w:rPr>
        <w:t>.</w:t>
      </w:r>
    </w:p>
    <w:p w:rsidR="00865D9A" w:rsidRPr="0051703A" w:rsidRDefault="008807CD" w:rsidP="005A79B2">
      <w:pPr>
        <w:spacing w:after="0"/>
        <w:rPr>
          <w:rFonts w:cs="Arial"/>
          <w:szCs w:val="22"/>
          <w:lang w:val="sv-SE"/>
        </w:rPr>
      </w:pPr>
      <w:proofErr w:type="gramStart"/>
      <w:r>
        <w:rPr>
          <w:rFonts w:cs="Arial"/>
          <w:szCs w:val="22"/>
          <w:lang w:val="sv-SE"/>
        </w:rPr>
        <w:t xml:space="preserve">SE:      </w:t>
      </w:r>
      <w:r w:rsidR="00865D9A" w:rsidRPr="0051703A">
        <w:rPr>
          <w:rFonts w:cs="Arial"/>
          <w:szCs w:val="22"/>
          <w:lang w:val="sv-SE"/>
        </w:rPr>
        <w:t>Sveriges</w:t>
      </w:r>
      <w:proofErr w:type="gramEnd"/>
      <w:r w:rsidR="00865D9A" w:rsidRPr="0051703A">
        <w:rPr>
          <w:rFonts w:cs="Arial"/>
          <w:szCs w:val="22"/>
          <w:lang w:val="sv-SE"/>
        </w:rPr>
        <w:t xml:space="preserve"> Lantbruksuniversitet (SLU)</w:t>
      </w:r>
    </w:p>
    <w:p w:rsidR="00865D9A" w:rsidRPr="0051703A" w:rsidRDefault="00865D9A" w:rsidP="005A79B2">
      <w:pPr>
        <w:spacing w:after="0"/>
        <w:ind w:left="708"/>
        <w:rPr>
          <w:rFonts w:cs="Arial"/>
          <w:szCs w:val="22"/>
          <w:lang w:val="sv-SE"/>
        </w:rPr>
      </w:pPr>
      <w:r w:rsidRPr="0051703A">
        <w:rPr>
          <w:rFonts w:cs="Arial"/>
          <w:szCs w:val="22"/>
          <w:lang w:val="sv-SE"/>
        </w:rPr>
        <w:t xml:space="preserve">Linda </w:t>
      </w:r>
      <w:proofErr w:type="spellStart"/>
      <w:r w:rsidRPr="0051703A">
        <w:rPr>
          <w:rFonts w:cs="Arial"/>
          <w:szCs w:val="22"/>
          <w:lang w:val="sv-SE"/>
        </w:rPr>
        <w:t>Keeling</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 (</w:t>
      </w:r>
      <w:proofErr w:type="spellStart"/>
      <w:r w:rsidRPr="0051703A">
        <w:rPr>
          <w:rFonts w:cs="Arial"/>
          <w:szCs w:val="22"/>
          <w:lang w:val="sv-SE"/>
        </w:rPr>
        <w:t>workpackage</w:t>
      </w:r>
      <w:proofErr w:type="spellEnd"/>
      <w:r w:rsidRPr="0051703A">
        <w:rPr>
          <w:rFonts w:cs="Arial"/>
          <w:szCs w:val="22"/>
          <w:lang w:val="sv-SE"/>
        </w:rPr>
        <w:t xml:space="preserve"> </w:t>
      </w:r>
      <w:proofErr w:type="spellStart"/>
      <w:r w:rsidRPr="0051703A">
        <w:rPr>
          <w:rFonts w:cs="Arial"/>
          <w:szCs w:val="22"/>
          <w:lang w:val="sv-SE"/>
        </w:rPr>
        <w:t>coordinator</w:t>
      </w:r>
      <w:proofErr w:type="spellEnd"/>
      <w:r w:rsidRPr="0051703A">
        <w:rPr>
          <w:rFonts w:cs="Arial"/>
          <w:szCs w:val="22"/>
          <w:lang w:val="sv-SE"/>
        </w:rPr>
        <w:t xml:space="preserve"> WP3), Lotta Berg </w:t>
      </w:r>
      <w:proofErr w:type="spellStart"/>
      <w:r w:rsidRPr="0051703A">
        <w:rPr>
          <w:rFonts w:cs="Arial"/>
          <w:szCs w:val="22"/>
          <w:lang w:val="sv-SE"/>
        </w:rPr>
        <w:t>Ph.D</w:t>
      </w:r>
      <w:proofErr w:type="spellEnd"/>
      <w:r w:rsidRPr="0051703A">
        <w:rPr>
          <w:rFonts w:cs="Arial"/>
          <w:szCs w:val="22"/>
          <w:lang w:val="sv-SE"/>
        </w:rPr>
        <w:t xml:space="preserve">., Frida Lundmark </w:t>
      </w:r>
      <w:proofErr w:type="spellStart"/>
      <w:r w:rsidRPr="0051703A">
        <w:rPr>
          <w:rFonts w:cs="Arial"/>
          <w:szCs w:val="22"/>
          <w:lang w:val="sv-SE"/>
        </w:rPr>
        <w:t>M</w:t>
      </w:r>
      <w:proofErr w:type="gramStart"/>
      <w:r w:rsidRPr="0051703A">
        <w:rPr>
          <w:rFonts w:cs="Arial"/>
          <w:szCs w:val="22"/>
          <w:lang w:val="sv-SE"/>
        </w:rPr>
        <w:t>.Sc</w:t>
      </w:r>
      <w:proofErr w:type="spellEnd"/>
      <w:proofErr w:type="gramEnd"/>
      <w:r w:rsidRPr="0051703A">
        <w:rPr>
          <w:rFonts w:cs="Arial"/>
          <w:szCs w:val="22"/>
          <w:lang w:val="sv-SE"/>
        </w:rPr>
        <w:t>.</w:t>
      </w:r>
    </w:p>
    <w:p w:rsidR="00865D9A" w:rsidRPr="008807CD" w:rsidRDefault="008807CD" w:rsidP="005A79B2">
      <w:pPr>
        <w:spacing w:after="0"/>
        <w:rPr>
          <w:rFonts w:cs="Arial"/>
          <w:szCs w:val="22"/>
          <w:lang w:val="en-US"/>
        </w:rPr>
      </w:pPr>
      <w:r w:rsidRPr="008807CD">
        <w:rPr>
          <w:rFonts w:cs="Arial"/>
          <w:szCs w:val="22"/>
          <w:lang w:val="en-US"/>
        </w:rPr>
        <w:t xml:space="preserve">UK:     </w:t>
      </w:r>
      <w:r w:rsidR="00865D9A" w:rsidRPr="008807CD">
        <w:rPr>
          <w:rFonts w:cs="Arial"/>
          <w:szCs w:val="22"/>
          <w:lang w:val="en-US"/>
        </w:rPr>
        <w:t>University of Newcastle upon Tyne (UNEW)</w:t>
      </w:r>
    </w:p>
    <w:p w:rsidR="00865D9A" w:rsidRPr="00A1002E" w:rsidRDefault="00865D9A" w:rsidP="005A79B2">
      <w:pPr>
        <w:spacing w:after="0"/>
        <w:ind w:left="708"/>
        <w:rPr>
          <w:rFonts w:cs="Arial"/>
          <w:szCs w:val="22"/>
          <w:lang w:val="en-US"/>
        </w:rPr>
      </w:pPr>
      <w:r w:rsidRPr="00A1002E">
        <w:rPr>
          <w:rFonts w:cs="Arial"/>
          <w:szCs w:val="22"/>
          <w:lang w:val="en-US"/>
        </w:rPr>
        <w:t xml:space="preserve">Jonathan Guy Ph.D. (co-chair workshop Madrid), David Harvey Ph.D., Sandra Edwards Ph.D., Guy </w:t>
      </w:r>
      <w:proofErr w:type="spellStart"/>
      <w:r w:rsidRPr="00A1002E">
        <w:rPr>
          <w:rFonts w:cs="Arial"/>
          <w:szCs w:val="22"/>
          <w:lang w:val="en-US"/>
        </w:rPr>
        <w:t>Garrod</w:t>
      </w:r>
      <w:proofErr w:type="spellEnd"/>
      <w:r w:rsidRPr="00A1002E">
        <w:rPr>
          <w:rFonts w:cs="Arial"/>
          <w:szCs w:val="22"/>
          <w:lang w:val="en-US"/>
        </w:rPr>
        <w:t xml:space="preserve"> M.Sc., Philip Cain Ph.D., Carmen Hubbard Ph.D., </w:t>
      </w:r>
      <w:proofErr w:type="spellStart"/>
      <w:r w:rsidRPr="00A1002E">
        <w:rPr>
          <w:rFonts w:cs="Arial"/>
          <w:szCs w:val="22"/>
          <w:lang w:val="en-US"/>
        </w:rPr>
        <w:t>Kamara</w:t>
      </w:r>
      <w:proofErr w:type="spellEnd"/>
      <w:r w:rsidRPr="00A1002E">
        <w:rPr>
          <w:rFonts w:cs="Arial"/>
          <w:szCs w:val="22"/>
          <w:lang w:val="en-US"/>
        </w:rPr>
        <w:t xml:space="preserve"> Scott</w:t>
      </w:r>
    </w:p>
    <w:p w:rsidR="00865D9A" w:rsidRPr="0051703A" w:rsidRDefault="008807CD" w:rsidP="005A79B2">
      <w:pPr>
        <w:spacing w:after="0"/>
        <w:rPr>
          <w:rFonts w:cs="Arial"/>
          <w:szCs w:val="22"/>
          <w:lang w:val="sv-SE"/>
        </w:rPr>
      </w:pPr>
      <w:proofErr w:type="gramStart"/>
      <w:r>
        <w:rPr>
          <w:rFonts w:cs="Arial"/>
          <w:szCs w:val="22"/>
          <w:lang w:val="sv-SE"/>
        </w:rPr>
        <w:t xml:space="preserve">ES:     </w:t>
      </w:r>
      <w:proofErr w:type="spellStart"/>
      <w:r w:rsidR="00865D9A" w:rsidRPr="0051703A">
        <w:rPr>
          <w:rFonts w:cs="Arial"/>
          <w:szCs w:val="22"/>
          <w:lang w:val="sv-SE"/>
        </w:rPr>
        <w:t>Universidad</w:t>
      </w:r>
      <w:proofErr w:type="spellEnd"/>
      <w:proofErr w:type="gramEnd"/>
      <w:r w:rsidR="00865D9A" w:rsidRPr="0051703A">
        <w:rPr>
          <w:rFonts w:cs="Arial"/>
          <w:szCs w:val="22"/>
          <w:lang w:val="sv-SE"/>
        </w:rPr>
        <w:t xml:space="preserve"> de Extremadura (UNEX)</w:t>
      </w:r>
    </w:p>
    <w:p w:rsidR="00865D9A" w:rsidRPr="0051703A" w:rsidRDefault="00865D9A" w:rsidP="005A79B2">
      <w:pPr>
        <w:spacing w:after="0"/>
        <w:ind w:left="708"/>
        <w:rPr>
          <w:rFonts w:cs="Arial"/>
          <w:szCs w:val="22"/>
          <w:lang w:val="sv-SE"/>
        </w:rPr>
      </w:pPr>
      <w:r w:rsidRPr="0051703A">
        <w:rPr>
          <w:rFonts w:cs="Arial"/>
          <w:szCs w:val="22"/>
          <w:lang w:val="sv-SE"/>
        </w:rPr>
        <w:t xml:space="preserve">Miguel Angel </w:t>
      </w:r>
      <w:proofErr w:type="spellStart"/>
      <w:r w:rsidRPr="0051703A">
        <w:rPr>
          <w:rFonts w:cs="Arial"/>
          <w:szCs w:val="22"/>
          <w:lang w:val="sv-SE"/>
        </w:rPr>
        <w:t>Aparicio</w:t>
      </w:r>
      <w:proofErr w:type="spellEnd"/>
      <w:r w:rsidRPr="0051703A">
        <w:rPr>
          <w:rFonts w:cs="Arial"/>
          <w:szCs w:val="22"/>
          <w:lang w:val="sv-SE"/>
        </w:rPr>
        <w:t xml:space="preserve"> Tovar </w:t>
      </w:r>
      <w:proofErr w:type="spellStart"/>
      <w:r w:rsidRPr="0051703A">
        <w:rPr>
          <w:rFonts w:cs="Arial"/>
          <w:szCs w:val="22"/>
          <w:lang w:val="sv-SE"/>
        </w:rPr>
        <w:t>Ph.D</w:t>
      </w:r>
      <w:proofErr w:type="spellEnd"/>
      <w:r w:rsidRPr="0051703A">
        <w:rPr>
          <w:rFonts w:cs="Arial"/>
          <w:szCs w:val="22"/>
          <w:lang w:val="sv-SE"/>
        </w:rPr>
        <w:t xml:space="preserve">., Juan de </w:t>
      </w:r>
      <w:proofErr w:type="spellStart"/>
      <w:r w:rsidRPr="0051703A">
        <w:rPr>
          <w:rFonts w:cs="Arial"/>
          <w:szCs w:val="22"/>
          <w:lang w:val="sv-SE"/>
        </w:rPr>
        <w:t>Dios</w:t>
      </w:r>
      <w:proofErr w:type="spellEnd"/>
      <w:r w:rsidRPr="0051703A">
        <w:rPr>
          <w:rFonts w:cs="Arial"/>
          <w:szCs w:val="22"/>
          <w:lang w:val="sv-SE"/>
        </w:rPr>
        <w:t xml:space="preserve"> Vargas </w:t>
      </w:r>
      <w:proofErr w:type="spellStart"/>
      <w:r w:rsidRPr="0051703A">
        <w:rPr>
          <w:rFonts w:cs="Arial"/>
          <w:szCs w:val="22"/>
          <w:lang w:val="sv-SE"/>
        </w:rPr>
        <w:t>Ph.D</w:t>
      </w:r>
      <w:proofErr w:type="spellEnd"/>
      <w:r w:rsidRPr="0051703A">
        <w:rPr>
          <w:rFonts w:cs="Arial"/>
          <w:szCs w:val="22"/>
          <w:lang w:val="sv-SE"/>
        </w:rPr>
        <w:t xml:space="preserve">., </w:t>
      </w:r>
      <w:proofErr w:type="spellStart"/>
      <w:r w:rsidRPr="0051703A">
        <w:rPr>
          <w:rFonts w:cs="Arial"/>
          <w:szCs w:val="22"/>
          <w:lang w:val="sv-SE"/>
        </w:rPr>
        <w:t>Jurgen</w:t>
      </w:r>
      <w:proofErr w:type="spellEnd"/>
      <w:r w:rsidRPr="0051703A">
        <w:rPr>
          <w:rFonts w:cs="Arial"/>
          <w:szCs w:val="22"/>
          <w:lang w:val="sv-SE"/>
        </w:rPr>
        <w:t xml:space="preserve"> </w:t>
      </w:r>
      <w:proofErr w:type="spellStart"/>
      <w:r w:rsidRPr="0051703A">
        <w:rPr>
          <w:rFonts w:cs="Arial"/>
          <w:szCs w:val="22"/>
          <w:lang w:val="sv-SE"/>
        </w:rPr>
        <w:t>Robledo</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 xml:space="preserve">., Francisco J. González </w:t>
      </w:r>
      <w:proofErr w:type="spellStart"/>
      <w:r w:rsidRPr="0051703A">
        <w:rPr>
          <w:rFonts w:cs="Arial"/>
          <w:szCs w:val="22"/>
          <w:lang w:val="sv-SE"/>
        </w:rPr>
        <w:t>Ph.D</w:t>
      </w:r>
      <w:proofErr w:type="spellEnd"/>
      <w:r w:rsidRPr="0051703A">
        <w:rPr>
          <w:rFonts w:cs="Arial"/>
          <w:szCs w:val="22"/>
          <w:lang w:val="sv-SE"/>
        </w:rPr>
        <w:t xml:space="preserve">., Luís </w:t>
      </w:r>
      <w:proofErr w:type="spellStart"/>
      <w:r w:rsidRPr="0051703A">
        <w:rPr>
          <w:rFonts w:cs="Arial"/>
          <w:szCs w:val="22"/>
          <w:lang w:val="sv-SE"/>
        </w:rPr>
        <w:t>Prieto</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 xml:space="preserve">., Diana </w:t>
      </w:r>
      <w:proofErr w:type="spellStart"/>
      <w:r w:rsidRPr="0051703A">
        <w:rPr>
          <w:rFonts w:cs="Arial"/>
          <w:szCs w:val="22"/>
          <w:lang w:val="sv-SE"/>
        </w:rPr>
        <w:t>Villanueva</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w:t>
      </w:r>
    </w:p>
    <w:p w:rsidR="00865D9A" w:rsidRPr="00634F3B" w:rsidRDefault="008807CD" w:rsidP="005A79B2">
      <w:pPr>
        <w:spacing w:after="0"/>
        <w:rPr>
          <w:rFonts w:cs="Arial"/>
          <w:szCs w:val="22"/>
        </w:rPr>
      </w:pPr>
      <w:r>
        <w:rPr>
          <w:rFonts w:cs="Arial"/>
          <w:szCs w:val="22"/>
        </w:rPr>
        <w:t xml:space="preserve">MK:     </w:t>
      </w:r>
      <w:r w:rsidR="00865D9A" w:rsidRPr="00634F3B">
        <w:rPr>
          <w:rFonts w:cs="Arial"/>
          <w:szCs w:val="22"/>
        </w:rPr>
        <w:t>University ‘St. Cyril and Methodius’ (UKIM)</w:t>
      </w:r>
    </w:p>
    <w:p w:rsidR="00865D9A" w:rsidRPr="0051703A" w:rsidRDefault="00865D9A" w:rsidP="005A79B2">
      <w:pPr>
        <w:spacing w:after="0"/>
        <w:ind w:firstLine="708"/>
        <w:rPr>
          <w:rFonts w:cs="Arial"/>
          <w:szCs w:val="22"/>
          <w:lang w:val="sv-SE"/>
        </w:rPr>
      </w:pPr>
      <w:r w:rsidRPr="0051703A">
        <w:rPr>
          <w:rFonts w:cs="Arial"/>
          <w:szCs w:val="22"/>
          <w:lang w:val="sv-SE"/>
        </w:rPr>
        <w:t xml:space="preserve">Vlatko </w:t>
      </w:r>
      <w:proofErr w:type="spellStart"/>
      <w:r w:rsidRPr="0051703A">
        <w:rPr>
          <w:rFonts w:cs="Arial"/>
          <w:szCs w:val="22"/>
          <w:lang w:val="sv-SE"/>
        </w:rPr>
        <w:t>Ilieski</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 xml:space="preserve">., Snezana </w:t>
      </w:r>
      <w:proofErr w:type="spellStart"/>
      <w:r w:rsidRPr="0051703A">
        <w:rPr>
          <w:rFonts w:cs="Arial"/>
          <w:szCs w:val="22"/>
          <w:lang w:val="sv-SE"/>
        </w:rPr>
        <w:t>Ristovska-Jovanovska</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 xml:space="preserve">., Aleksandra </w:t>
      </w:r>
      <w:proofErr w:type="spellStart"/>
      <w:r w:rsidRPr="0051703A">
        <w:rPr>
          <w:rFonts w:cs="Arial"/>
          <w:szCs w:val="22"/>
          <w:lang w:val="sv-SE"/>
        </w:rPr>
        <w:t>Martinovska</w:t>
      </w:r>
      <w:proofErr w:type="spellEnd"/>
    </w:p>
    <w:p w:rsidR="00865D9A" w:rsidRPr="0051703A" w:rsidRDefault="00865D9A" w:rsidP="005A79B2">
      <w:pPr>
        <w:spacing w:after="0"/>
        <w:ind w:firstLine="708"/>
        <w:rPr>
          <w:rFonts w:cs="Arial"/>
          <w:szCs w:val="22"/>
          <w:lang w:val="sv-SE"/>
        </w:rPr>
      </w:pPr>
      <w:proofErr w:type="spellStart"/>
      <w:r w:rsidRPr="0051703A">
        <w:rPr>
          <w:rFonts w:cs="Arial"/>
          <w:szCs w:val="22"/>
          <w:lang w:val="sv-SE"/>
        </w:rPr>
        <w:t>Stojceska</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 xml:space="preserve">., </w:t>
      </w:r>
      <w:proofErr w:type="spellStart"/>
      <w:r w:rsidRPr="0051703A">
        <w:rPr>
          <w:rFonts w:cs="Arial"/>
          <w:szCs w:val="22"/>
          <w:lang w:val="sv-SE"/>
        </w:rPr>
        <w:t>Ivanco</w:t>
      </w:r>
      <w:proofErr w:type="spellEnd"/>
      <w:r w:rsidRPr="0051703A">
        <w:rPr>
          <w:rFonts w:cs="Arial"/>
          <w:szCs w:val="22"/>
          <w:lang w:val="sv-SE"/>
        </w:rPr>
        <w:t xml:space="preserve"> </w:t>
      </w:r>
      <w:proofErr w:type="spellStart"/>
      <w:r w:rsidRPr="0051703A">
        <w:rPr>
          <w:rFonts w:cs="Arial"/>
          <w:szCs w:val="22"/>
          <w:lang w:val="sv-SE"/>
        </w:rPr>
        <w:t>Naletoski</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 xml:space="preserve">., </w:t>
      </w:r>
      <w:proofErr w:type="spellStart"/>
      <w:r w:rsidRPr="0051703A">
        <w:rPr>
          <w:rFonts w:cs="Arial"/>
          <w:szCs w:val="22"/>
          <w:lang w:val="sv-SE"/>
        </w:rPr>
        <w:t>Blagica</w:t>
      </w:r>
      <w:proofErr w:type="spellEnd"/>
      <w:r w:rsidRPr="0051703A">
        <w:rPr>
          <w:rFonts w:cs="Arial"/>
          <w:szCs w:val="22"/>
          <w:lang w:val="sv-SE"/>
        </w:rPr>
        <w:t xml:space="preserve"> </w:t>
      </w:r>
      <w:proofErr w:type="spellStart"/>
      <w:r w:rsidRPr="0051703A">
        <w:rPr>
          <w:rFonts w:cs="Arial"/>
          <w:szCs w:val="22"/>
          <w:lang w:val="sv-SE"/>
        </w:rPr>
        <w:t>Sekovska</w:t>
      </w:r>
      <w:proofErr w:type="spellEnd"/>
      <w:r w:rsidRPr="0051703A">
        <w:rPr>
          <w:rFonts w:cs="Arial"/>
          <w:szCs w:val="22"/>
          <w:lang w:val="sv-SE"/>
        </w:rPr>
        <w:t xml:space="preserve">, </w:t>
      </w:r>
      <w:proofErr w:type="spellStart"/>
      <w:r w:rsidRPr="0051703A">
        <w:rPr>
          <w:rFonts w:cs="Arial"/>
          <w:szCs w:val="22"/>
          <w:lang w:val="sv-SE"/>
        </w:rPr>
        <w:t>Ph.D</w:t>
      </w:r>
      <w:proofErr w:type="spellEnd"/>
      <w:r w:rsidRPr="0051703A">
        <w:rPr>
          <w:rFonts w:cs="Arial"/>
          <w:szCs w:val="22"/>
          <w:lang w:val="sv-SE"/>
        </w:rPr>
        <w:t>.</w:t>
      </w:r>
    </w:p>
    <w:p w:rsidR="00865D9A" w:rsidRPr="0051703A" w:rsidRDefault="00865D9A" w:rsidP="005A79B2">
      <w:pPr>
        <w:spacing w:after="0"/>
        <w:rPr>
          <w:rFonts w:cs="Arial"/>
          <w:szCs w:val="22"/>
          <w:lang w:val="sv-SE"/>
        </w:rPr>
      </w:pPr>
    </w:p>
    <w:p w:rsidR="00865D9A" w:rsidRPr="00634F3B" w:rsidRDefault="00865D9A" w:rsidP="005A79B2">
      <w:pPr>
        <w:spacing w:after="0"/>
        <w:rPr>
          <w:rFonts w:cs="Arial"/>
          <w:szCs w:val="22"/>
        </w:rPr>
      </w:pPr>
      <w:r w:rsidRPr="00634F3B">
        <w:rPr>
          <w:rFonts w:cs="Arial"/>
          <w:szCs w:val="22"/>
        </w:rPr>
        <w:t>We would like to thank all project partners that carried out the documentation in their country.</w:t>
      </w:r>
    </w:p>
    <w:p w:rsidR="00286C2E" w:rsidRDefault="00286C2E" w:rsidP="00865D9A">
      <w:pPr>
        <w:rPr>
          <w:rFonts w:cs="Arial"/>
          <w:b/>
          <w:szCs w:val="22"/>
        </w:rPr>
      </w:pPr>
    </w:p>
    <w:p w:rsidR="00865D9A" w:rsidRDefault="00865D9A" w:rsidP="00865D9A">
      <w:pPr>
        <w:rPr>
          <w:rFonts w:cs="Arial"/>
          <w:b/>
          <w:szCs w:val="22"/>
        </w:rPr>
      </w:pPr>
      <w:r w:rsidRPr="00634F3B">
        <w:rPr>
          <w:rFonts w:cs="Arial"/>
          <w:b/>
          <w:szCs w:val="22"/>
        </w:rPr>
        <w:t>Acknowledgements</w:t>
      </w:r>
    </w:p>
    <w:p w:rsidR="00FE3F4D" w:rsidRPr="00634F3B" w:rsidRDefault="00FE3F4D" w:rsidP="00865D9A">
      <w:pPr>
        <w:rPr>
          <w:rFonts w:cs="Arial"/>
          <w:b/>
          <w:szCs w:val="22"/>
        </w:rPr>
      </w:pPr>
    </w:p>
    <w:p w:rsidR="00865D9A" w:rsidRPr="00634F3B" w:rsidRDefault="00865D9A" w:rsidP="00865D9A">
      <w:pPr>
        <w:rPr>
          <w:rFonts w:cs="Arial"/>
          <w:szCs w:val="22"/>
        </w:rPr>
      </w:pPr>
      <w:r w:rsidRPr="00634F3B">
        <w:rPr>
          <w:rFonts w:cs="Arial"/>
          <w:szCs w:val="22"/>
        </w:rPr>
        <w:t xml:space="preserve">This report was produced with financial support from the FP7 programme of the European Commission for the project </w:t>
      </w:r>
      <w:bookmarkStart w:id="0" w:name="OLE_LINK2"/>
      <w:r w:rsidRPr="00634F3B">
        <w:rPr>
          <w:rFonts w:cs="Arial"/>
          <w:szCs w:val="22"/>
        </w:rPr>
        <w:t>“Good animal welfare in a socio-economic context: Project to promote insight on the impact for the animal, the production chain and European society of upgrading animal welfare standards (</w:t>
      </w:r>
      <w:proofErr w:type="spellStart"/>
      <w:r w:rsidRPr="00634F3B">
        <w:rPr>
          <w:rFonts w:cs="Arial"/>
          <w:szCs w:val="22"/>
        </w:rPr>
        <w:t>EconWelfare</w:t>
      </w:r>
      <w:proofErr w:type="spellEnd"/>
      <w:r w:rsidRPr="00634F3B">
        <w:rPr>
          <w:rFonts w:cs="Arial"/>
          <w:szCs w:val="22"/>
        </w:rPr>
        <w:t>)”</w:t>
      </w:r>
      <w:bookmarkEnd w:id="0"/>
      <w:r w:rsidRPr="00634F3B">
        <w:rPr>
          <w:rFonts w:cs="Arial"/>
          <w:szCs w:val="22"/>
        </w:rPr>
        <w:t xml:space="preserve">. </w:t>
      </w:r>
    </w:p>
    <w:p w:rsidR="00865D9A" w:rsidRPr="00634F3B" w:rsidRDefault="00865D9A" w:rsidP="00865D9A">
      <w:pPr>
        <w:rPr>
          <w:rFonts w:cs="Arial"/>
          <w:szCs w:val="22"/>
        </w:rPr>
      </w:pPr>
    </w:p>
    <w:p w:rsidR="00865D9A" w:rsidRPr="00634F3B" w:rsidRDefault="00865D9A" w:rsidP="00286C2E">
      <w:pPr>
        <w:spacing w:line="276" w:lineRule="auto"/>
        <w:rPr>
          <w:rFonts w:cs="Arial"/>
          <w:szCs w:val="22"/>
        </w:rPr>
      </w:pPr>
    </w:p>
    <w:p w:rsidR="00865D9A" w:rsidRPr="00634F3B" w:rsidRDefault="00865D9A" w:rsidP="00865D9A">
      <w:pPr>
        <w:rPr>
          <w:rFonts w:cs="Arial"/>
          <w:szCs w:val="22"/>
        </w:rPr>
      </w:pPr>
    </w:p>
    <w:p w:rsidR="00865D9A" w:rsidRPr="00634F3B" w:rsidRDefault="00865D9A" w:rsidP="00865D9A">
      <w:pPr>
        <w:pBdr>
          <w:top w:val="single" w:sz="4" w:space="1" w:color="auto"/>
          <w:left w:val="single" w:sz="4" w:space="4" w:color="auto"/>
          <w:bottom w:val="single" w:sz="4" w:space="1" w:color="auto"/>
          <w:right w:val="single" w:sz="4" w:space="4" w:color="auto"/>
        </w:pBdr>
        <w:ind w:left="1" w:hanging="1"/>
        <w:rPr>
          <w:rFonts w:cs="Arial"/>
          <w:szCs w:val="22"/>
        </w:rPr>
      </w:pPr>
      <w:r w:rsidRPr="00634F3B">
        <w:rPr>
          <w:rFonts w:cs="Arial"/>
          <w:szCs w:val="22"/>
        </w:rPr>
        <w:t>The text of this report represents the authors' views and does not necessarily represent a position of the European Commission who will not be liable for the use made of such information.</w:t>
      </w:r>
    </w:p>
    <w:p w:rsidR="00865D9A" w:rsidRPr="00634F3B" w:rsidRDefault="00865D9A" w:rsidP="00865D9A">
      <w:pPr>
        <w:rPr>
          <w:rFonts w:cs="Arial"/>
          <w:szCs w:val="22"/>
        </w:rPr>
      </w:pPr>
    </w:p>
    <w:p w:rsidR="00024A5E" w:rsidRDefault="00024A5E" w:rsidP="00865D9A">
      <w:pPr>
        <w:rPr>
          <w:rFonts w:cs="Arial"/>
          <w:szCs w:val="22"/>
        </w:rPr>
      </w:pPr>
    </w:p>
    <w:sdt>
      <w:sdtPr>
        <w:rPr>
          <w:rFonts w:eastAsia="Times New Roman" w:cs="Times New Roman"/>
          <w:b w:val="0"/>
          <w:bCs w:val="0"/>
          <w:szCs w:val="24"/>
          <w:lang w:val="en-GB" w:eastAsia="it-IT"/>
        </w:rPr>
        <w:id w:val="240048210"/>
        <w:docPartObj>
          <w:docPartGallery w:val="Table of Contents"/>
          <w:docPartUnique/>
        </w:docPartObj>
      </w:sdtPr>
      <w:sdtContent>
        <w:p w:rsidR="005A79B2" w:rsidRDefault="005A79B2">
          <w:pPr>
            <w:pStyle w:val="TOCHeading"/>
          </w:pPr>
          <w:r>
            <w:t>Table of Contents</w:t>
          </w:r>
        </w:p>
        <w:p w:rsidR="005A79B2" w:rsidRDefault="00A518EC">
          <w:fldSimple w:instr=" TOC \o &quot;1-3&quot; \h \z \u ">
            <w:r w:rsidR="005A79B2">
              <w:rPr>
                <w:b/>
                <w:noProof/>
              </w:rPr>
              <w:t>Word did not find any entries for your table of contents.</w:t>
            </w:r>
            <w:r w:rsidR="005A79B2">
              <w:rPr>
                <w:noProof/>
              </w:rPr>
              <w:br/>
              <w:t>In your document, select the words to include in the table of contents, and then in the Formatting Palette under Styles, click a heading style. Repeat for each heading that you want to include, and then insert the table of contents in your document.  You can also create a table of contents by clicking the Create with Manual Formatting option and then type the entries manually.</w:t>
            </w:r>
          </w:fldSimple>
        </w:p>
      </w:sdtContent>
    </w:sdt>
    <w:p w:rsidR="00024A5E" w:rsidRPr="00634F3B" w:rsidRDefault="00024A5E" w:rsidP="00865D9A">
      <w:pPr>
        <w:rPr>
          <w:rFonts w:cs="Arial"/>
          <w:szCs w:val="22"/>
        </w:rPr>
      </w:pPr>
    </w:p>
    <w:p w:rsidR="00865D9A" w:rsidRPr="00AC33B1" w:rsidRDefault="00024A5E" w:rsidP="00865D9A">
      <w:pPr>
        <w:rPr>
          <w:rFonts w:cs="Arial"/>
          <w:b/>
          <w:szCs w:val="22"/>
        </w:rPr>
      </w:pPr>
      <w:r w:rsidRPr="00AC33B1">
        <w:rPr>
          <w:rFonts w:cs="Arial"/>
          <w:b/>
          <w:szCs w:val="22"/>
        </w:rPr>
        <w:t xml:space="preserve">List of Tables </w:t>
      </w:r>
    </w:p>
    <w:p w:rsidR="00024A5E" w:rsidRPr="00024A5E" w:rsidRDefault="00024A5E" w:rsidP="00865D9A">
      <w:pPr>
        <w:rPr>
          <w:rFonts w:cs="Arial"/>
          <w:szCs w:val="22"/>
        </w:rPr>
      </w:pPr>
    </w:p>
    <w:p w:rsidR="00142BDA" w:rsidRPr="00AC33B1" w:rsidRDefault="00142BDA" w:rsidP="00865D9A">
      <w:pPr>
        <w:rPr>
          <w:rFonts w:cs="Arial"/>
          <w:szCs w:val="22"/>
        </w:rPr>
      </w:pPr>
    </w:p>
    <w:p w:rsidR="00142BDA" w:rsidRDefault="00142BDA" w:rsidP="00865D9A">
      <w:pPr>
        <w:rPr>
          <w:rFonts w:cs="Arial"/>
          <w:szCs w:val="22"/>
        </w:rPr>
      </w:pPr>
    </w:p>
    <w:p w:rsidR="00142BDA" w:rsidRDefault="00142BDA" w:rsidP="00865D9A">
      <w:pPr>
        <w:rPr>
          <w:rFonts w:cs="Arial"/>
          <w:szCs w:val="22"/>
        </w:rPr>
      </w:pPr>
    </w:p>
    <w:p w:rsidR="00142BDA" w:rsidRDefault="00142BDA" w:rsidP="00865D9A">
      <w:pPr>
        <w:rPr>
          <w:rFonts w:cs="Arial"/>
          <w:szCs w:val="22"/>
        </w:rPr>
      </w:pPr>
    </w:p>
    <w:p w:rsidR="00651E79" w:rsidRPr="007A0F45" w:rsidRDefault="00DB7626" w:rsidP="007A0F45">
      <w:pPr>
        <w:pStyle w:val="TOCHeading"/>
        <w:rPr>
          <w:i/>
        </w:rPr>
      </w:pPr>
      <w:r>
        <w:rPr>
          <w:szCs w:val="22"/>
        </w:rPr>
        <w:br w:type="page"/>
      </w:r>
      <w:r w:rsidR="00651E79" w:rsidRPr="007A0F45">
        <w:rPr>
          <w:i/>
        </w:rPr>
        <w:t>Executive Summary.</w:t>
      </w:r>
    </w:p>
    <w:p w:rsidR="00651E79" w:rsidRDefault="00651E79" w:rsidP="00651E79">
      <w:pPr>
        <w:rPr>
          <w:rFonts w:cs="Arial"/>
          <w:szCs w:val="22"/>
        </w:rPr>
      </w:pPr>
      <w:r w:rsidRPr="0088004E">
        <w:t>Econ-Welfare has as its overall objective: “</w:t>
      </w:r>
      <w:r w:rsidRPr="0088004E">
        <w:rPr>
          <w:i/>
        </w:rPr>
        <w:t>to reveal what policy instruments might be effective in the route towards higher animal welfare representing the concerns of civil society and in which competitiveness of the livestock industry is guaranteed.</w:t>
      </w:r>
      <w:r w:rsidRPr="0088004E">
        <w:t>”</w:t>
      </w:r>
      <w:r>
        <w:t xml:space="preserve"> </w:t>
      </w:r>
      <w:r w:rsidRPr="00405EFB">
        <w:t xml:space="preserve">As originally conceived, </w:t>
      </w:r>
      <w:r>
        <w:t>the project</w:t>
      </w:r>
      <w:r w:rsidRPr="00405EFB">
        <w:t xml:space="preserve"> </w:t>
      </w:r>
      <w:r>
        <w:t>was</w:t>
      </w:r>
      <w:r w:rsidRPr="00405EFB">
        <w:t xml:space="preserve"> expected to </w:t>
      </w:r>
      <w:r>
        <w:t>identify</w:t>
      </w:r>
      <w:r w:rsidRPr="00405EFB">
        <w:t xml:space="preserve"> a short list of specific upgrades to current animal welfare standards </w:t>
      </w:r>
      <w:r>
        <w:t>on the basis of</w:t>
      </w:r>
      <w:r w:rsidRPr="00405EFB">
        <w:t xml:space="preserve"> extensive stakeholder engagement. </w:t>
      </w:r>
      <w:r>
        <w:t>However,</w:t>
      </w:r>
      <w:r w:rsidRPr="00405EFB">
        <w:t xml:space="preserve"> such a short list of specific improvements </w:t>
      </w:r>
      <w:r>
        <w:t>has not emerged from our stakeholder consultations. Rather,</w:t>
      </w:r>
      <w:r w:rsidRPr="00405EFB">
        <w:t xml:space="preserve"> Europe’s member states and supply chains move at different speeds towards higher levels of animal welfare, and different short lists apply to different regions, sectors (species), market segments and countries. </w:t>
      </w:r>
      <w:r>
        <w:t>Instead</w:t>
      </w:r>
      <w:r w:rsidRPr="00405EFB">
        <w:t>, more general policy approaches and instruments have been identified, and their general strengths and weaknesses explored. These approaches (objectives, instruments and indicators) have been assessed and ranked by stakeholders, and subsequently logically ordered to reflect the current conditions of animal welfare in each country or sector</w:t>
      </w:r>
      <w:r>
        <w:t>, as reported in the previous deliverables</w:t>
      </w:r>
      <w:r w:rsidRPr="00405EFB">
        <w:t xml:space="preserve">. </w:t>
      </w:r>
      <w:r w:rsidRPr="00B13518">
        <w:rPr>
          <w:rFonts w:cs="Arial"/>
          <w:szCs w:val="22"/>
        </w:rPr>
        <w:t>The short answer to the question of what the consequences</w:t>
      </w:r>
      <w:r>
        <w:rPr>
          <w:rFonts w:cs="Arial"/>
          <w:szCs w:val="22"/>
        </w:rPr>
        <w:t xml:space="preserve"> of these various instruments and initiatives</w:t>
      </w:r>
      <w:r w:rsidRPr="00B13518">
        <w:rPr>
          <w:rFonts w:cs="Arial"/>
          <w:szCs w:val="22"/>
        </w:rPr>
        <w:t xml:space="preserve"> </w:t>
      </w:r>
      <w:r>
        <w:rPr>
          <w:rFonts w:cs="Arial"/>
          <w:szCs w:val="22"/>
        </w:rPr>
        <w:t xml:space="preserve">might be is: </w:t>
      </w:r>
      <w:r w:rsidRPr="00B13518">
        <w:rPr>
          <w:rFonts w:cs="Arial"/>
          <w:szCs w:val="22"/>
        </w:rPr>
        <w:t>“it all depends”. In this deliverable, we explore the factors and circumstances on which these consequences depend, and develop approaches that should be useful in identifying the consequences of specific changes in standards and practices in the future.</w:t>
      </w:r>
    </w:p>
    <w:p w:rsidR="00651E79" w:rsidRDefault="00651E79" w:rsidP="00651E79">
      <w:pPr>
        <w:spacing w:before="60" w:line="220" w:lineRule="atLeast"/>
      </w:pPr>
      <w:r w:rsidRPr="00F465A2">
        <w:t>Illustrative calculations of specific cases</w:t>
      </w:r>
      <w:r>
        <w:t xml:space="preserve"> of improved animal welfare</w:t>
      </w:r>
      <w:r w:rsidRPr="00F465A2">
        <w:t xml:space="preserve"> need a generally agreed framework within which </w:t>
      </w:r>
      <w:r>
        <w:t>general</w:t>
      </w:r>
      <w:r w:rsidRPr="00F465A2">
        <w:t xml:space="preserve"> implications can be assessed.  </w:t>
      </w:r>
      <w:r>
        <w:t>We</w:t>
      </w:r>
      <w:r w:rsidRPr="00F465A2">
        <w:t xml:space="preserve"> </w:t>
      </w:r>
      <w:r>
        <w:t>outline</w:t>
      </w:r>
      <w:r w:rsidRPr="00F465A2">
        <w:t xml:space="preserve"> such a generally agreed framework </w:t>
      </w:r>
      <w:r>
        <w:t>and illustrate</w:t>
      </w:r>
      <w:r w:rsidRPr="00F465A2">
        <w:t xml:space="preserve"> a procedure through which this general framework might be practically implemented to identify the most useful and effective routes to improving animal welfare.</w:t>
      </w:r>
    </w:p>
    <w:p w:rsidR="00651E79" w:rsidRDefault="00651E79" w:rsidP="00651E79">
      <w:pPr>
        <w:spacing w:before="60" w:line="220" w:lineRule="atLeast"/>
      </w:pPr>
      <w:r w:rsidRPr="00A85628">
        <w:t xml:space="preserve">Socio-economic </w:t>
      </w:r>
      <w:r>
        <w:t>progress</w:t>
      </w:r>
      <w:r w:rsidRPr="00A85628">
        <w:t xml:space="preserve"> of</w:t>
      </w:r>
      <w:r>
        <w:t xml:space="preserve"> governed</w:t>
      </w:r>
      <w:r w:rsidRPr="00A85628">
        <w:t xml:space="preserve"> markets and R&amp;</w:t>
      </w:r>
      <w:r>
        <w:t>D</w:t>
      </w:r>
      <w:r w:rsidRPr="00A85628">
        <w:t xml:space="preserve"> has progressively explored the possibilities of increasing animal productivity and, more lately, of improving animal welfare.</w:t>
      </w:r>
      <w:r>
        <w:t xml:space="preserve"> The consequences are well documented elsewhere in the </w:t>
      </w:r>
      <w:proofErr w:type="spellStart"/>
      <w:r>
        <w:t>EconWelfare</w:t>
      </w:r>
      <w:proofErr w:type="spellEnd"/>
      <w:r>
        <w:t xml:space="preserve"> reports, and are illustrated by our </w:t>
      </w:r>
      <w:r w:rsidRPr="007312CE">
        <w:rPr>
          <w:i/>
        </w:rPr>
        <w:t>Animal Welfare Development Road</w:t>
      </w:r>
      <w:r>
        <w:t xml:space="preserve"> map:</w:t>
      </w:r>
    </w:p>
    <w:p w:rsidR="00651E79" w:rsidRPr="007B1999" w:rsidRDefault="007B1999" w:rsidP="00651E79">
      <w:pPr>
        <w:spacing w:before="60" w:line="220" w:lineRule="atLeast"/>
        <w:rPr>
          <w:i/>
          <w:sz w:val="20"/>
        </w:rPr>
      </w:pPr>
      <w:r w:rsidRPr="007B1999">
        <w:rPr>
          <w:noProof/>
          <w:lang w:val="en-US" w:eastAsia="en-US"/>
        </w:rPr>
        <w:drawing>
          <wp:inline distT="0" distB="0" distL="0" distR="0">
            <wp:extent cx="5760720" cy="3303564"/>
            <wp:effectExtent l="0" t="0" r="0" b="0"/>
            <wp:docPr id="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90968" cy="4754563"/>
                      <a:chOff x="889545" y="1266825"/>
                      <a:chExt cx="8290968" cy="4754563"/>
                    </a:xfrm>
                  </a:grpSpPr>
                  <a:grpSp>
                    <a:nvGrpSpPr>
                      <a:cNvPr id="31" name="Group 30"/>
                      <a:cNvGrpSpPr/>
                    </a:nvGrpSpPr>
                    <a:grpSpPr>
                      <a:xfrm>
                        <a:off x="889545" y="1266825"/>
                        <a:ext cx="8290968" cy="4754563"/>
                        <a:chOff x="889545" y="1266825"/>
                        <a:chExt cx="8290968" cy="4754563"/>
                      </a:xfrm>
                    </a:grpSpPr>
                    <a:sp>
                      <a:nvSpPr>
                        <a:cNvPr id="15363" name="Line 2"/>
                        <a:cNvSpPr>
                          <a:spLocks noChangeShapeType="1"/>
                        </a:cNvSpPr>
                      </a:nvSpPr>
                      <a:spPr bwMode="auto">
                        <a:xfrm flipH="1">
                          <a:off x="1296988" y="1341438"/>
                          <a:ext cx="0" cy="4140200"/>
                        </a:xfrm>
                        <a:prstGeom prst="line">
                          <a:avLst/>
                        </a:prstGeom>
                        <a:noFill/>
                        <a:ln w="12700">
                          <a:solidFill>
                            <a:srgbClr val="00080C"/>
                          </a:solidFill>
                          <a:round/>
                          <a:headEnd type="triangle" w="med" len="me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GB"/>
                          </a:p>
                        </a:txBody>
                        <a:useSpRect/>
                      </a:txSp>
                    </a:sp>
                    <a:cxnSp>
                      <a:nvCxnSpPr>
                        <a:cNvPr id="5" name="AutoShape 3"/>
                        <a:cNvCxnSpPr>
                          <a:cxnSpLocks noChangeShapeType="1"/>
                        </a:cNvCxnSpPr>
                      </a:nvCxnSpPr>
                      <a:spPr bwMode="auto">
                        <a:xfrm flipV="1">
                          <a:off x="1724025" y="1773238"/>
                          <a:ext cx="3606800" cy="3384550"/>
                        </a:xfrm>
                        <a:prstGeom prst="curvedConnector3">
                          <a:avLst>
                            <a:gd name="adj1" fmla="val 50000"/>
                          </a:avLst>
                        </a:prstGeom>
                        <a:ln>
                          <a:headEnd/>
                          <a:tailEnd/>
                        </a:ln>
                        <a:effectLst/>
                      </a:spPr>
                      <a:style>
                        <a:lnRef idx="2">
                          <a:schemeClr val="dk1"/>
                        </a:lnRef>
                        <a:fillRef idx="0">
                          <a:schemeClr val="dk1"/>
                        </a:fillRef>
                        <a:effectRef idx="1">
                          <a:schemeClr val="dk1"/>
                        </a:effectRef>
                        <a:fontRef idx="minor">
                          <a:schemeClr val="tx1"/>
                        </a:fontRef>
                      </a:style>
                    </a:cxnSp>
                    <a:sp>
                      <a:nvSpPr>
                        <a:cNvPr id="9221" name="Text Box 4"/>
                        <a:cNvSpPr txBox="1">
                          <a:spLocks noChangeArrowheads="1"/>
                        </a:cNvSpPr>
                      </a:nvSpPr>
                      <a:spPr bwMode="auto">
                        <a:xfrm>
                          <a:off x="889545" y="1266825"/>
                          <a:ext cx="430887" cy="3676650"/>
                        </a:xfrm>
                        <a:prstGeom prst="rect">
                          <a:avLst/>
                        </a:prstGeom>
                        <a:noFill/>
                        <a:ln w="12700">
                          <a:noFill/>
                          <a:miter lim="800000"/>
                          <a:headEnd/>
                          <a:tailEnd/>
                        </a:ln>
                      </a:spPr>
                      <a:txSp>
                        <a:txBody>
                          <a:bodyPr vert="vert27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r>
                              <a:rPr lang="en-US" sz="1600" dirty="0">
                                <a:solidFill>
                                  <a:srgbClr val="00080C"/>
                                </a:solidFill>
                                <a:latin typeface="News Gothic"/>
                              </a:rPr>
                              <a:t>Maturity of Animal welfare  issue</a:t>
                            </a:r>
                          </a:p>
                        </a:txBody>
                        <a:useSpRect/>
                      </a:txSp>
                    </a:sp>
                    <a:sp>
                      <a:nvSpPr>
                        <a:cNvPr id="15366" name="Line 5"/>
                        <a:cNvSpPr>
                          <a:spLocks noChangeShapeType="1"/>
                        </a:cNvSpPr>
                      </a:nvSpPr>
                      <a:spPr bwMode="auto">
                        <a:xfrm>
                          <a:off x="1296988" y="5481638"/>
                          <a:ext cx="7670800" cy="20637"/>
                        </a:xfrm>
                        <a:prstGeom prst="line">
                          <a:avLst/>
                        </a:prstGeom>
                        <a:noFill/>
                        <a:ln w="12700">
                          <a:solidFill>
                            <a:srgbClr val="00080C"/>
                          </a:solidFill>
                          <a:round/>
                          <a:headEnd/>
                          <a:tailEnd type="triangle" w="med" len="me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GB"/>
                          </a:p>
                        </a:txBody>
                        <a:useSpRect/>
                      </a:txSp>
                    </a:sp>
                    <a:sp>
                      <a:nvSpPr>
                        <a:cNvPr id="15367" name="Text Box 6"/>
                        <a:cNvSpPr txBox="1">
                          <a:spLocks noChangeArrowheads="1"/>
                        </a:cNvSpPr>
                      </a:nvSpPr>
                      <a:spPr bwMode="auto">
                        <a:xfrm>
                          <a:off x="3354388" y="5683250"/>
                          <a:ext cx="631825" cy="338138"/>
                        </a:xfrm>
                        <a:prstGeom prst="rect">
                          <a:avLst/>
                        </a:prstGeom>
                        <a:noFill/>
                        <a:ln w="12700">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a:solidFill>
                                  <a:srgbClr val="00080C"/>
                                </a:solidFill>
                                <a:latin typeface="News Gothic"/>
                              </a:rPr>
                              <a:t>Time</a:t>
                            </a:r>
                          </a:p>
                        </a:txBody>
                        <a:useSpRect/>
                      </a:txSp>
                    </a:sp>
                    <a:sp>
                      <a:nvSpPr>
                        <a:cNvPr id="9224" name="TextBox 9"/>
                        <a:cNvSpPr txBox="1">
                          <a:spLocks noChangeArrowheads="1"/>
                        </a:cNvSpPr>
                      </a:nvSpPr>
                      <a:spPr bwMode="auto">
                        <a:xfrm>
                          <a:off x="2871788" y="4756150"/>
                          <a:ext cx="2703512" cy="5842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600"/>
                              <a:t>Increasing compliance with </a:t>
                            </a:r>
                          </a:p>
                          <a:p>
                            <a:r>
                              <a:rPr lang="en-GB" sz="1600"/>
                              <a:t>EU legislation</a:t>
                            </a:r>
                          </a:p>
                        </a:txBody>
                        <a:useSpRect/>
                      </a:txSp>
                    </a:sp>
                    <a:sp>
                      <a:nvSpPr>
                        <a:cNvPr id="9225" name="TextBox 10"/>
                        <a:cNvSpPr txBox="1">
                          <a:spLocks noChangeArrowheads="1"/>
                        </a:cNvSpPr>
                      </a:nvSpPr>
                      <a:spPr bwMode="auto">
                        <a:xfrm>
                          <a:off x="3463925" y="4100513"/>
                          <a:ext cx="1700213" cy="33813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600"/>
                              <a:t>Raising awareness</a:t>
                            </a:r>
                          </a:p>
                        </a:txBody>
                        <a:useSpRect/>
                      </a:txSp>
                    </a:sp>
                    <a:sp>
                      <a:nvSpPr>
                        <a:cNvPr id="9226" name="TextBox 11"/>
                        <a:cNvSpPr txBox="1">
                          <a:spLocks noChangeArrowheads="1"/>
                        </a:cNvSpPr>
                      </a:nvSpPr>
                      <a:spPr bwMode="auto">
                        <a:xfrm>
                          <a:off x="3587750" y="3343275"/>
                          <a:ext cx="1990725" cy="33813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600"/>
                              <a:t>Product development</a:t>
                            </a:r>
                          </a:p>
                        </a:txBody>
                        <a:useSpRect/>
                      </a:txSp>
                    </a:sp>
                    <a:sp>
                      <a:nvSpPr>
                        <a:cNvPr id="9227" name="TextBox 12"/>
                        <a:cNvSpPr txBox="1">
                          <a:spLocks noChangeArrowheads="1"/>
                        </a:cNvSpPr>
                      </a:nvSpPr>
                      <a:spPr bwMode="auto">
                        <a:xfrm>
                          <a:off x="3798888" y="2686050"/>
                          <a:ext cx="1441450" cy="33813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600"/>
                              <a:t>Mainstreaming</a:t>
                            </a:r>
                          </a:p>
                        </a:txBody>
                        <a:useSpRect/>
                      </a:txSp>
                    </a:sp>
                    <a:sp>
                      <a:nvSpPr>
                        <a:cNvPr id="9228" name="TextBox 13"/>
                        <a:cNvSpPr txBox="1">
                          <a:spLocks noChangeArrowheads="1"/>
                        </a:cNvSpPr>
                      </a:nvSpPr>
                      <a:spPr bwMode="auto">
                        <a:xfrm>
                          <a:off x="3340100" y="1946275"/>
                          <a:ext cx="2473325" cy="5857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r"/>
                            <a:r>
                              <a:rPr lang="en-GB" sz="1600"/>
                              <a:t>Integration </a:t>
                            </a:r>
                          </a:p>
                          <a:p>
                            <a:pPr algn="r"/>
                            <a:r>
                              <a:rPr lang="en-GB" sz="1600"/>
                              <a:t>with other issues</a:t>
                            </a:r>
                          </a:p>
                        </a:txBody>
                        <a:useSpRect/>
                      </a:txSp>
                    </a:sp>
                    <a:sp>
                      <a:nvSpPr>
                        <a:cNvPr id="15373" name="TextBox 14"/>
                        <a:cNvSpPr txBox="1">
                          <a:spLocks noChangeArrowheads="1"/>
                        </a:cNvSpPr>
                      </a:nvSpPr>
                      <a:spPr bwMode="auto">
                        <a:xfrm>
                          <a:off x="6318250" y="1341438"/>
                          <a:ext cx="804863"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u="sng"/>
                              <a:t>What?</a:t>
                            </a:r>
                          </a:p>
                        </a:txBody>
                        <a:useSpRect/>
                      </a:txSp>
                    </a:sp>
                    <a:sp>
                      <a:nvSpPr>
                        <a:cNvPr id="15374" name="TextBox 15"/>
                        <a:cNvSpPr txBox="1">
                          <a:spLocks noChangeArrowheads="1"/>
                        </a:cNvSpPr>
                      </a:nvSpPr>
                      <a:spPr bwMode="auto">
                        <a:xfrm>
                          <a:off x="7804150" y="1341438"/>
                          <a:ext cx="741363"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u="sng"/>
                              <a:t>Who?</a:t>
                            </a:r>
                          </a:p>
                        </a:txBody>
                        <a:useSpRect/>
                      </a:txSp>
                    </a:sp>
                    <a:sp>
                      <a:nvSpPr>
                        <a:cNvPr id="9231" name="TextBox 16"/>
                        <a:cNvSpPr txBox="1">
                          <a:spLocks noChangeArrowheads="1"/>
                        </a:cNvSpPr>
                      </a:nvSpPr>
                      <a:spPr bwMode="auto">
                        <a:xfrm>
                          <a:off x="6002338" y="4749800"/>
                          <a:ext cx="2173287"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Sharing best practices  incentives  and</a:t>
                            </a:r>
                          </a:p>
                          <a:p>
                            <a:r>
                              <a:rPr lang="en-GB" sz="1200"/>
                              <a:t>enforcement</a:t>
                            </a:r>
                          </a:p>
                        </a:txBody>
                        <a:useSpRect/>
                      </a:txSp>
                    </a:sp>
                    <a:sp>
                      <a:nvSpPr>
                        <a:cNvPr id="9232" name="TextBox 17"/>
                        <a:cNvSpPr txBox="1">
                          <a:spLocks noChangeArrowheads="1"/>
                        </a:cNvSpPr>
                      </a:nvSpPr>
                      <a:spPr bwMode="auto">
                        <a:xfrm>
                          <a:off x="7700963" y="4797425"/>
                          <a:ext cx="1363662" cy="461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Farmers, chain, and government</a:t>
                            </a:r>
                          </a:p>
                        </a:txBody>
                        <a:useSpRect/>
                      </a:txSp>
                    </a:sp>
                    <a:sp>
                      <a:nvSpPr>
                        <a:cNvPr id="9233" name="TextBox 18"/>
                        <a:cNvSpPr txBox="1">
                          <a:spLocks noChangeArrowheads="1"/>
                        </a:cNvSpPr>
                      </a:nvSpPr>
                      <a:spPr bwMode="auto">
                        <a:xfrm>
                          <a:off x="6000750" y="4168775"/>
                          <a:ext cx="1584325" cy="461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Public information and education</a:t>
                            </a:r>
                          </a:p>
                        </a:txBody>
                        <a:useSpRect/>
                      </a:txSp>
                    </a:sp>
                    <a:sp>
                      <a:nvSpPr>
                        <a:cNvPr id="9234" name="TextBox 19"/>
                        <a:cNvSpPr txBox="1">
                          <a:spLocks noChangeArrowheads="1"/>
                        </a:cNvSpPr>
                      </a:nvSpPr>
                      <a:spPr bwMode="auto">
                        <a:xfrm>
                          <a:off x="7664450" y="4195763"/>
                          <a:ext cx="1516063"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NGOs and government</a:t>
                            </a:r>
                          </a:p>
                        </a:txBody>
                        <a:useSpRect/>
                      </a:txSp>
                    </a:sp>
                    <a:sp>
                      <a:nvSpPr>
                        <a:cNvPr id="9235" name="TextBox 20"/>
                        <a:cNvSpPr txBox="1">
                          <a:spLocks noChangeArrowheads="1"/>
                        </a:cNvSpPr>
                      </a:nvSpPr>
                      <a:spPr bwMode="auto">
                        <a:xfrm>
                          <a:off x="6013450" y="3217863"/>
                          <a:ext cx="1651000" cy="8302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Public-private-   partnerships developing </a:t>
                            </a:r>
                          </a:p>
                          <a:p>
                            <a:r>
                              <a:rPr lang="en-GB" sz="1200"/>
                              <a:t>products &amp; standards</a:t>
                            </a:r>
                          </a:p>
                        </a:txBody>
                        <a:useSpRect/>
                      </a:txSp>
                    </a:sp>
                    <a:sp>
                      <a:nvSpPr>
                        <a:cNvPr id="9236" name="TextBox 21"/>
                        <a:cNvSpPr txBox="1">
                          <a:spLocks noChangeArrowheads="1"/>
                        </a:cNvSpPr>
                      </a:nvSpPr>
                      <a:spPr bwMode="auto">
                        <a:xfrm>
                          <a:off x="7632700" y="3267075"/>
                          <a:ext cx="1516063"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Retailers, industry NGOs  and government</a:t>
                            </a:r>
                          </a:p>
                        </a:txBody>
                        <a:useSpRect/>
                      </a:txSp>
                    </a:sp>
                    <a:sp>
                      <a:nvSpPr>
                        <a:cNvPr id="9237" name="TextBox 22"/>
                        <a:cNvSpPr txBox="1">
                          <a:spLocks noChangeArrowheads="1"/>
                        </a:cNvSpPr>
                      </a:nvSpPr>
                      <a:spPr bwMode="auto">
                        <a:xfrm>
                          <a:off x="6040438" y="2624138"/>
                          <a:ext cx="1260475"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Marketing support</a:t>
                            </a:r>
                          </a:p>
                        </a:txBody>
                        <a:useSpRect/>
                      </a:txSp>
                    </a:sp>
                    <a:sp>
                      <a:nvSpPr>
                        <a:cNvPr id="9238" name="TextBox 23"/>
                        <a:cNvSpPr txBox="1">
                          <a:spLocks noChangeArrowheads="1"/>
                        </a:cNvSpPr>
                      </a:nvSpPr>
                      <a:spPr bwMode="auto">
                        <a:xfrm>
                          <a:off x="7653338" y="2633663"/>
                          <a:ext cx="1516062"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Retailers, chain and NGOs</a:t>
                            </a:r>
                          </a:p>
                        </a:txBody>
                        <a:useSpRect/>
                      </a:txSp>
                    </a:sp>
                    <a:sp>
                      <a:nvSpPr>
                        <a:cNvPr id="9239" name="TextBox 24"/>
                        <a:cNvSpPr txBox="1">
                          <a:spLocks noChangeArrowheads="1"/>
                        </a:cNvSpPr>
                      </a:nvSpPr>
                      <a:spPr bwMode="auto">
                        <a:xfrm>
                          <a:off x="7616825" y="2022475"/>
                          <a:ext cx="1516063"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400"/>
                              <a:t>All stakeholders</a:t>
                            </a:r>
                          </a:p>
                        </a:txBody>
                        <a:useSpRect/>
                      </a:txSp>
                    </a:sp>
                    <a:sp>
                      <a:nvSpPr>
                        <a:cNvPr id="9240" name="TextBox 25"/>
                        <a:cNvSpPr txBox="1">
                          <a:spLocks noChangeArrowheads="1"/>
                        </a:cNvSpPr>
                      </a:nvSpPr>
                      <a:spPr bwMode="auto">
                        <a:xfrm>
                          <a:off x="6048375" y="1993900"/>
                          <a:ext cx="1538288" cy="461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Standards development</a:t>
                            </a:r>
                          </a:p>
                        </a:txBody>
                        <a:useSpRect/>
                      </a:txSp>
                    </a:sp>
                    <a:cxnSp>
                      <a:nvCxnSpPr>
                        <a:cNvPr id="26" name="Straight Connector 28"/>
                        <a:cNvCxnSpPr/>
                      </a:nvCxnSpPr>
                      <a:spPr>
                        <a:xfrm flipH="1">
                          <a:off x="7629525" y="1373188"/>
                          <a:ext cx="0" cy="3959225"/>
                        </a:xfrm>
                        <a:prstGeom prst="line">
                          <a:avLst/>
                        </a:prstGeom>
                      </a:spPr>
                      <a:style>
                        <a:lnRef idx="1">
                          <a:schemeClr val="accent1"/>
                        </a:lnRef>
                        <a:fillRef idx="0">
                          <a:schemeClr val="accent1"/>
                        </a:fillRef>
                        <a:effectRef idx="0">
                          <a:schemeClr val="accent1"/>
                        </a:effectRef>
                        <a:fontRef idx="minor">
                          <a:schemeClr val="tx1"/>
                        </a:fontRef>
                      </a:style>
                    </a:cxnSp>
                    <a:sp>
                      <a:nvSpPr>
                        <a:cNvPr id="9242" name="TextBox 30"/>
                        <a:cNvSpPr txBox="1">
                          <a:spLocks noChangeArrowheads="1"/>
                        </a:cNvSpPr>
                      </a:nvSpPr>
                      <a:spPr bwMode="auto">
                        <a:xfrm>
                          <a:off x="2120900" y="4570413"/>
                          <a:ext cx="360363"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1.</a:t>
                            </a:r>
                          </a:p>
                        </a:txBody>
                        <a:useSpRect/>
                      </a:txSp>
                    </a:sp>
                    <a:sp>
                      <a:nvSpPr>
                        <a:cNvPr id="9243" name="TextBox 31"/>
                        <a:cNvSpPr txBox="1">
                          <a:spLocks noChangeArrowheads="1"/>
                        </a:cNvSpPr>
                      </a:nvSpPr>
                      <a:spPr bwMode="auto">
                        <a:xfrm>
                          <a:off x="2797175" y="3954463"/>
                          <a:ext cx="358775"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2.</a:t>
                            </a:r>
                          </a:p>
                        </a:txBody>
                        <a:useSpRect/>
                      </a:txSp>
                    </a:sp>
                    <a:sp>
                      <a:nvSpPr>
                        <a:cNvPr id="9244" name="TextBox 32"/>
                        <a:cNvSpPr txBox="1">
                          <a:spLocks noChangeArrowheads="1"/>
                        </a:cNvSpPr>
                      </a:nvSpPr>
                      <a:spPr bwMode="auto">
                        <a:xfrm>
                          <a:off x="3132138" y="3284538"/>
                          <a:ext cx="360362"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3.</a:t>
                            </a:r>
                          </a:p>
                        </a:txBody>
                        <a:useSpRect/>
                      </a:txSp>
                    </a:sp>
                    <a:sp>
                      <a:nvSpPr>
                        <a:cNvPr id="9245" name="TextBox 33"/>
                        <a:cNvSpPr txBox="1">
                          <a:spLocks noChangeArrowheads="1"/>
                        </a:cNvSpPr>
                      </a:nvSpPr>
                      <a:spPr bwMode="auto">
                        <a:xfrm>
                          <a:off x="3341688" y="2627313"/>
                          <a:ext cx="358775"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4.</a:t>
                            </a:r>
                          </a:p>
                        </a:txBody>
                        <a:useSpRect/>
                      </a:txSp>
                    </a:sp>
                    <a:sp>
                      <a:nvSpPr>
                        <a:cNvPr id="9246" name="TextBox 34"/>
                        <a:cNvSpPr txBox="1">
                          <a:spLocks noChangeArrowheads="1"/>
                        </a:cNvSpPr>
                      </a:nvSpPr>
                      <a:spPr bwMode="auto">
                        <a:xfrm>
                          <a:off x="4108450" y="1773238"/>
                          <a:ext cx="360363"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5.</a:t>
                            </a:r>
                          </a:p>
                        </a:txBody>
                        <a:useSpRect/>
                      </a:txSp>
                    </a:sp>
                  </a:grpSp>
                </lc:lockedCanvas>
              </a:graphicData>
            </a:graphic>
          </wp:inline>
        </w:drawing>
      </w:r>
      <w:r w:rsidRPr="007B1999">
        <w:rPr>
          <w:i/>
          <w:sz w:val="20"/>
        </w:rPr>
        <w:t>Source</w:t>
      </w:r>
      <w:r>
        <w:rPr>
          <w:i/>
          <w:sz w:val="20"/>
        </w:rPr>
        <w:t xml:space="preserve"> – Figure 2, </w:t>
      </w:r>
      <w:proofErr w:type="spellStart"/>
      <w:r>
        <w:rPr>
          <w:i/>
          <w:sz w:val="20"/>
        </w:rPr>
        <w:t>EconWelfare</w:t>
      </w:r>
      <w:proofErr w:type="spellEnd"/>
      <w:r>
        <w:rPr>
          <w:i/>
          <w:sz w:val="20"/>
        </w:rPr>
        <w:t xml:space="preserve"> Deliverable 3.4, p13</w:t>
      </w:r>
    </w:p>
    <w:p w:rsidR="00651E79" w:rsidRPr="00A85628" w:rsidRDefault="00651E79" w:rsidP="00651E79">
      <w:pPr>
        <w:spacing w:before="60" w:line="220" w:lineRule="atLeast"/>
      </w:pPr>
    </w:p>
    <w:p w:rsidR="00651E79" w:rsidRDefault="00651E79" w:rsidP="00651E79">
      <w:r>
        <w:t xml:space="preserve">As people (farmers, businesses, consumers and citizens) develop and integrate different perspectives and ambitions, so animal product supply chains adopt and adapt practices and procedures to progressively improve animal welfare, assisted by government regulation and support. </w:t>
      </w:r>
    </w:p>
    <w:p w:rsidR="00651E79" w:rsidRDefault="00651E79" w:rsidP="00651E79">
      <w:r>
        <w:t xml:space="preserve">The major consequential questions are: 1) why are higher standards of animal welfare not already more widely spread through the EU?  2) </w:t>
      </w:r>
      <w:proofErr w:type="gramStart"/>
      <w:r>
        <w:t>what</w:t>
      </w:r>
      <w:proofErr w:type="gramEnd"/>
      <w:r>
        <w:t xml:space="preserve"> might be done to speed up their extension? One simplistic answer is that improved animal welfare costs suppliers money, and consumers are not prepared to pay enough to support improved animal welfare. Another is that we need tighter government regulations. More intelligent answers can be identified in principle through consideration of the supply and demand conditions for animal products.</w:t>
      </w:r>
    </w:p>
    <w:p w:rsidR="00651E79" w:rsidRPr="00AA76B8" w:rsidRDefault="00651E79" w:rsidP="00651E79">
      <w:r>
        <w:t xml:space="preserve">On the </w:t>
      </w:r>
      <w:r w:rsidRPr="00AA76B8">
        <w:rPr>
          <w:u w:val="single"/>
        </w:rPr>
        <w:t>supply side</w:t>
      </w:r>
      <w:r>
        <w:t xml:space="preserve">, we make use of the concept of a </w:t>
      </w:r>
      <w:r>
        <w:rPr>
          <w:i/>
        </w:rPr>
        <w:t>production possibility frontier</w:t>
      </w:r>
      <w:r>
        <w:t>, which describes the best (known) practices of animal production and processing so as to maximize both animal welfare and productivity. Competitive markets will continually adopt and adapt to come as close to this frontier as possible, albeit with different combinations of animal productivity and welfare depending on the sector and species. So long as all producers are on the frontier, the simple answer</w:t>
      </w:r>
      <w:r w:rsidRPr="002845A5">
        <w:t xml:space="preserve"> </w:t>
      </w:r>
      <w:r>
        <w:t xml:space="preserve">is necessarily correct - that improved animal welfare on the frontier involves some reduction in animal productivity, and hence an increase in production costs. </w:t>
      </w:r>
      <w:r w:rsidRPr="00AA76B8">
        <w:rPr>
          <w:i/>
        </w:rPr>
        <w:t>For competitive and efficient producers,</w:t>
      </w:r>
      <w:r>
        <w:t xml:space="preserve"> </w:t>
      </w:r>
      <w:r>
        <w:rPr>
          <w:i/>
        </w:rPr>
        <w:t>there is a necessary trade-off between costs of production and improved animal welfare</w:t>
      </w:r>
      <w:r>
        <w:t>, although these efficient producers may already be delivering better animal welfare than their less competitive and efficient peers.</w:t>
      </w:r>
    </w:p>
    <w:p w:rsidR="00651E79" w:rsidRDefault="00651E79" w:rsidP="00651E79">
      <w:r>
        <w:t>However, continued R&amp;D (including informal R&amp;D being done as producers adapt and innovate) expands the frontier, allowing a simultaneous increase in productivity (reduction in costs) and improved animal welfare. Also, continued extension of best practice (through information, education and communication) throughout the supply chain allows poorer performers to improve their practices, again simultaneously improving both productivity and animal welfare. On the other hand, tighter animal welfare regulations will compress the frontier towards lower productivity and improved welfare, and may encourage the industry to search out more effective ways of complying with the regulations. However, such regulations will also be more costly (time and resource consuming) to police and administer (and hence less effective) the more they restrict the supply chain from what it would otherwise do.</w:t>
      </w:r>
    </w:p>
    <w:p w:rsidR="00651E79" w:rsidRDefault="00651E79" w:rsidP="00651E79">
      <w:r>
        <w:t xml:space="preserve">The chain effects of more stringent animal welfare regulations appear on the </w:t>
      </w:r>
      <w:r w:rsidRPr="00AA76B8">
        <w:rPr>
          <w:u w:val="single"/>
        </w:rPr>
        <w:t>demand side</w:t>
      </w:r>
      <w:r>
        <w:t>. Unless consumers are more willing to purchase local (higher animal welfare) products, at the higher price, they will either buy less animal products, or source them from less regulated and lower cost suppliers. In this case, the local (EU) supply will diminish, and producers can be expected to resist tighter regulation as a result.</w:t>
      </w:r>
    </w:p>
    <w:p w:rsidR="00651E79" w:rsidRDefault="00651E79" w:rsidP="00651E79">
      <w:r>
        <w:t xml:space="preserve">However, the development of animal agriculture and associated animal product markets over time strongly suggests that as people become better educated, richer and better informed, so they show increased willingness to support improved animal welfare. As our documentation of animal welfare initiatives across the EU shows, more ‘advanced’ economies show an increased diversity of animal welfare friendly practices and products. </w:t>
      </w:r>
      <w:r w:rsidRPr="00757FE5">
        <w:rPr>
          <w:i/>
        </w:rPr>
        <w:t>Richer and better informed consumers do pay for improved animal welfare, and can be encouraged to pay more</w:t>
      </w:r>
      <w:r>
        <w:t xml:space="preserve"> for more animal welfare friendly products through better information, communication, more reliable labels and associated voluntary or private standards.</w:t>
      </w:r>
    </w:p>
    <w:p w:rsidR="00651E79" w:rsidRDefault="00651E79" w:rsidP="00651E79">
      <w:r>
        <w:t xml:space="preserve">Nevertheless, markets are not prefect and can fail. Animal welfare is often cited as a </w:t>
      </w:r>
      <w:r>
        <w:rPr>
          <w:i/>
        </w:rPr>
        <w:t>public good</w:t>
      </w:r>
      <w:r>
        <w:rPr>
          <w:i/>
        </w:rPr>
        <w:softHyphen/>
        <w:t xml:space="preserve"> – </w:t>
      </w:r>
      <w:r>
        <w:t xml:space="preserve">which does involve market failure and a requirement for government intervention. However, closer analysis reveals that the real cause of market failure in this case is </w:t>
      </w:r>
      <w:r w:rsidR="007A0F45">
        <w:t>a</w:t>
      </w:r>
      <w:r>
        <w:t xml:space="preserve"> problem of </w:t>
      </w:r>
      <w:r>
        <w:rPr>
          <w:i/>
        </w:rPr>
        <w:t>consumption externality</w:t>
      </w:r>
      <w:r>
        <w:t xml:space="preserve"> -</w:t>
      </w:r>
      <w:r w:rsidRPr="00EE2BF3">
        <w:t xml:space="preserve"> </w:t>
      </w:r>
      <w:r w:rsidRPr="00EE2BF3">
        <w:rPr>
          <w:u w:val="single"/>
        </w:rPr>
        <w:t>my</w:t>
      </w:r>
      <w:r w:rsidRPr="00EE2BF3">
        <w:t xml:space="preserve"> wellbeing</w:t>
      </w:r>
      <w:r>
        <w:t xml:space="preserve"> is</w:t>
      </w:r>
      <w:r w:rsidRPr="00EE2BF3">
        <w:t xml:space="preserve"> </w:t>
      </w:r>
      <w:r>
        <w:t>significantly affected</w:t>
      </w:r>
      <w:r w:rsidRPr="00EE2BF3">
        <w:t xml:space="preserve"> by </w:t>
      </w:r>
      <w:r w:rsidRPr="00EE2BF3">
        <w:rPr>
          <w:u w:val="single"/>
        </w:rPr>
        <w:t>your</w:t>
      </w:r>
      <w:r w:rsidRPr="00EE2BF3">
        <w:t xml:space="preserve"> consumption (and hence by the associated production)</w:t>
      </w:r>
      <w:r>
        <w:t>. Since I cannot be sure that my own consumption will have much effect on everyone else’s consumption (and hence on animal welfare), I may well be tempted to do nothing, and pay nothing extra, or at least not enough. This problem, which leads to a potentially strong downward bias in consumers’ willingness to pay for improved animal welfare, is known as the ‘</w:t>
      </w:r>
      <w:r>
        <w:rPr>
          <w:i/>
        </w:rPr>
        <w:t>free rider problem’</w:t>
      </w:r>
      <w:r>
        <w:t>. It results in the apparent gap between citizens’ preferences for improved animal welfare and their behaviour as consumers in actively seeking out and purchasing animal welfare friendly products – and in the apparent niche character of improved animal welfare product markets.</w:t>
      </w:r>
      <w:r w:rsidR="007A0F45">
        <w:t xml:space="preserve"> </w:t>
      </w:r>
    </w:p>
    <w:p w:rsidR="00651E79" w:rsidRDefault="00651E79" w:rsidP="00651E79">
      <w:r>
        <w:t xml:space="preserve">Further consideration of this fundamental problem leads to </w:t>
      </w:r>
      <w:r w:rsidR="002722EE">
        <w:t>two</w:t>
      </w:r>
      <w:r>
        <w:t xml:space="preserve"> important conclusions:</w:t>
      </w:r>
    </w:p>
    <w:p w:rsidR="00651E79" w:rsidRDefault="00651E79" w:rsidP="00651E79">
      <w:pPr>
        <w:pStyle w:val="ListParagraph"/>
        <w:numPr>
          <w:ilvl w:val="0"/>
          <w:numId w:val="16"/>
        </w:numPr>
        <w:spacing w:line="240" w:lineRule="auto"/>
        <w:jc w:val="both"/>
        <w:rPr>
          <w:rFonts w:ascii="Arial" w:hAnsi="Arial"/>
        </w:rPr>
      </w:pPr>
      <w:r>
        <w:rPr>
          <w:rFonts w:ascii="Arial" w:hAnsi="Arial"/>
        </w:rPr>
        <w:t xml:space="preserve">Delegation of responsibility for animal welfare by citizens to their governments (through tighter regulation of animal welfare) does not and cannot absolve citizens of responsibility for the consequences – </w:t>
      </w:r>
      <w:r>
        <w:rPr>
          <w:rFonts w:ascii="Arial" w:hAnsi="Arial"/>
          <w:i/>
        </w:rPr>
        <w:t>delegation does not mean abdication of responsibility</w:t>
      </w:r>
      <w:r>
        <w:rPr>
          <w:rFonts w:ascii="Arial" w:hAnsi="Arial"/>
        </w:rPr>
        <w:t xml:space="preserve">.  Unless citizens, as consumers, are willing to back up their governments’ decisions about appropriate animal welfare standards by supporting (and purchasing from) their own local (EU) producers and supply chains in favour of alternative supplies, then their regulations will fail to improve animal welfare, and will prove unnecessarily and wastefully costly.  As a rider to this conclusion, it is also apparent that people (as citizens) hold widely differing views about appropriate standards of animal welfare, and that any public consensus about appropriate standards will always be plagued by </w:t>
      </w:r>
      <w:r>
        <w:rPr>
          <w:rFonts w:ascii="Arial" w:hAnsi="Arial"/>
          <w:i/>
        </w:rPr>
        <w:t>indefiniteness</w:t>
      </w:r>
      <w:r>
        <w:rPr>
          <w:rFonts w:ascii="Arial" w:hAnsi="Arial"/>
        </w:rPr>
        <w:t xml:space="preserve"> – it is impossible to achieve general (and supported) agreement on anything but minimum acceptable standards.</w:t>
      </w:r>
    </w:p>
    <w:p w:rsidR="002722EE" w:rsidRPr="007A0F45" w:rsidRDefault="00651E79" w:rsidP="002722EE">
      <w:pPr>
        <w:pStyle w:val="ListParagraph"/>
        <w:numPr>
          <w:ilvl w:val="0"/>
          <w:numId w:val="16"/>
        </w:numPr>
        <w:spacing w:line="240" w:lineRule="auto"/>
        <w:jc w:val="both"/>
        <w:rPr>
          <w:rFonts w:ascii="Arial" w:hAnsi="Arial"/>
        </w:rPr>
      </w:pPr>
      <w:r>
        <w:rPr>
          <w:rFonts w:ascii="Arial" w:hAnsi="Arial"/>
        </w:rPr>
        <w:t xml:space="preserve">The free-rider problem is only one of six major reasons for the </w:t>
      </w:r>
      <w:r w:rsidRPr="008175AE">
        <w:rPr>
          <w:rFonts w:ascii="Arial" w:hAnsi="Arial"/>
          <w:i/>
        </w:rPr>
        <w:t>citizen-consumer gap</w:t>
      </w:r>
      <w:r>
        <w:rPr>
          <w:rFonts w:ascii="Arial" w:hAnsi="Arial"/>
        </w:rPr>
        <w:t xml:space="preserve"> (people asserting that animal welfare is important (in opinion polls and willingness to pay surveys), and yet not actually behaving as if animal welfare were important by seeking out and purchasing animal welfare friendly products).  The other reasons for the gap (and the current niche status of improved welfare products) are likely to be more important. These other five reasons imply </w:t>
      </w:r>
      <w:r w:rsidRPr="005957A5">
        <w:rPr>
          <w:rFonts w:ascii="Arial" w:hAnsi="Arial"/>
          <w:u w:val="single"/>
        </w:rPr>
        <w:t>either</w:t>
      </w:r>
      <w:r>
        <w:rPr>
          <w:rFonts w:ascii="Arial" w:hAnsi="Arial"/>
        </w:rPr>
        <w:t xml:space="preserve"> that improved </w:t>
      </w:r>
      <w:proofErr w:type="spellStart"/>
      <w:r>
        <w:rPr>
          <w:rFonts w:ascii="Arial" w:hAnsi="Arial"/>
        </w:rPr>
        <w:t>labeling</w:t>
      </w:r>
      <w:proofErr w:type="spellEnd"/>
      <w:r>
        <w:rPr>
          <w:rFonts w:ascii="Arial" w:hAnsi="Arial"/>
        </w:rPr>
        <w:t xml:space="preserve"> (backed up by more reliable standards, better communication and better marketing and ‘packaging’ with other quality attributes) is needed, </w:t>
      </w:r>
      <w:r w:rsidRPr="005957A5">
        <w:rPr>
          <w:rFonts w:ascii="Arial" w:hAnsi="Arial"/>
          <w:u w:val="single"/>
        </w:rPr>
        <w:t>or</w:t>
      </w:r>
      <w:r>
        <w:rPr>
          <w:rFonts w:ascii="Arial" w:hAnsi="Arial"/>
        </w:rPr>
        <w:t xml:space="preserve"> that the gap is simply an </w:t>
      </w:r>
      <w:proofErr w:type="spellStart"/>
      <w:r>
        <w:rPr>
          <w:rFonts w:ascii="Arial" w:hAnsi="Arial"/>
        </w:rPr>
        <w:t>artifact</w:t>
      </w:r>
      <w:proofErr w:type="spellEnd"/>
      <w:r>
        <w:rPr>
          <w:rFonts w:ascii="Arial" w:hAnsi="Arial"/>
        </w:rPr>
        <w:t xml:space="preserve"> reflecting the impossibility of properly replicating real world conditions in any survey or choice experiment, however well designed. </w:t>
      </w:r>
    </w:p>
    <w:p w:rsidR="00651E79" w:rsidRPr="002722EE" w:rsidRDefault="002722EE" w:rsidP="002722EE">
      <w:r w:rsidRPr="002722EE">
        <w:t>It follows from these two conclusions that the conventional contrast between government regulation and market (voluntary) provision of improved animal welfare</w:t>
      </w:r>
      <w:r>
        <w:t xml:space="preserve"> is </w:t>
      </w:r>
      <w:r w:rsidR="005307FE">
        <w:t xml:space="preserve">not as sharp as is often supposed. Both approaches rely on public (consumer) support to be effective. Although regulation appears to depend on one person one vote, in contrast to the market where riches (money) counts, in practice regulatory decisions are reached essentially as a compromise between advocates (the demand side) and vested interests (the supply side), with some arbitration from </w:t>
      </w:r>
      <w:proofErr w:type="spellStart"/>
      <w:r w:rsidR="005307FE">
        <w:t>dis</w:t>
      </w:r>
      <w:proofErr w:type="spellEnd"/>
      <w:r w:rsidR="005307FE">
        <w:t>-interested analysts and bureaucrats.  The dangers of ‘government failure’ are, in principle, as strong as those of market failure. Each approach involves at least an implicit cost/benefit analysis of any proposed improvement of welfare standards. The market-based approach has distinct advantages of flexibility and adaptation to specific conditions and circumstances, and the capacity to cope with the inherent indeterminacy and diversity of public opinion about appropriate animal welfare standards.</w:t>
      </w:r>
    </w:p>
    <w:p w:rsidR="00651E79" w:rsidRDefault="00651E79" w:rsidP="00651E79">
      <w:r>
        <w:t xml:space="preserve">The strong implication of these conclusions is that government intervention and policy in favour of improved animal welfare should focus on: </w:t>
      </w:r>
    </w:p>
    <w:p w:rsidR="00651E79" w:rsidRDefault="00651E79" w:rsidP="00651E79">
      <w:pPr>
        <w:pStyle w:val="ListParagraph"/>
        <w:numPr>
          <w:ilvl w:val="0"/>
          <w:numId w:val="17"/>
        </w:numPr>
        <w:spacing w:line="240" w:lineRule="auto"/>
        <w:jc w:val="both"/>
        <w:rPr>
          <w:rFonts w:ascii="Arial" w:hAnsi="Arial"/>
        </w:rPr>
      </w:pPr>
      <w:proofErr w:type="gramStart"/>
      <w:r w:rsidRPr="00F83D6A">
        <w:rPr>
          <w:rFonts w:ascii="Arial" w:hAnsi="Arial"/>
        </w:rPr>
        <w:t>improving</w:t>
      </w:r>
      <w:proofErr w:type="gramEnd"/>
      <w:r w:rsidRPr="00F83D6A">
        <w:rPr>
          <w:rFonts w:ascii="Arial" w:hAnsi="Arial"/>
        </w:rPr>
        <w:t xml:space="preserve"> public and chain education and information; </w:t>
      </w:r>
    </w:p>
    <w:p w:rsidR="00651E79" w:rsidRDefault="00651E79" w:rsidP="00651E79">
      <w:pPr>
        <w:pStyle w:val="ListParagraph"/>
        <w:numPr>
          <w:ilvl w:val="0"/>
          <w:numId w:val="17"/>
        </w:numPr>
        <w:spacing w:line="240" w:lineRule="auto"/>
        <w:jc w:val="both"/>
        <w:rPr>
          <w:rFonts w:ascii="Arial" w:hAnsi="Arial"/>
        </w:rPr>
      </w:pPr>
      <w:r w:rsidRPr="00F83D6A">
        <w:rPr>
          <w:rFonts w:ascii="Arial" w:hAnsi="Arial"/>
        </w:rPr>
        <w:t xml:space="preserve">R&amp;D towards better identification of animal welfare and the conditions and practices leading to improvement; </w:t>
      </w:r>
    </w:p>
    <w:p w:rsidR="00651E79" w:rsidRDefault="00651E79" w:rsidP="00651E79">
      <w:pPr>
        <w:pStyle w:val="ListParagraph"/>
        <w:numPr>
          <w:ilvl w:val="0"/>
          <w:numId w:val="17"/>
        </w:numPr>
        <w:spacing w:line="240" w:lineRule="auto"/>
        <w:jc w:val="both"/>
        <w:rPr>
          <w:rFonts w:ascii="Arial" w:hAnsi="Arial"/>
        </w:rPr>
      </w:pPr>
      <w:proofErr w:type="gramStart"/>
      <w:r w:rsidRPr="00F83D6A">
        <w:rPr>
          <w:rFonts w:ascii="Arial" w:hAnsi="Arial"/>
        </w:rPr>
        <w:t>provision</w:t>
      </w:r>
      <w:proofErr w:type="gramEnd"/>
      <w:r w:rsidRPr="00F83D6A">
        <w:rPr>
          <w:rFonts w:ascii="Arial" w:hAnsi="Arial"/>
        </w:rPr>
        <w:t xml:space="preserve"> for public (third party) validation of labels and standards; </w:t>
      </w:r>
    </w:p>
    <w:p w:rsidR="00651E79" w:rsidRDefault="00651E79" w:rsidP="00651E79">
      <w:pPr>
        <w:pStyle w:val="ListParagraph"/>
        <w:numPr>
          <w:ilvl w:val="0"/>
          <w:numId w:val="17"/>
        </w:numPr>
        <w:spacing w:line="240" w:lineRule="auto"/>
        <w:jc w:val="both"/>
        <w:rPr>
          <w:rFonts w:ascii="Arial" w:hAnsi="Arial"/>
        </w:rPr>
      </w:pPr>
      <w:proofErr w:type="gramStart"/>
      <w:r w:rsidRPr="00F83D6A">
        <w:rPr>
          <w:rFonts w:ascii="Arial" w:hAnsi="Arial"/>
        </w:rPr>
        <w:t>monitoring</w:t>
      </w:r>
      <w:proofErr w:type="gramEnd"/>
      <w:r w:rsidRPr="00F83D6A">
        <w:rPr>
          <w:rFonts w:ascii="Arial" w:hAnsi="Arial"/>
        </w:rPr>
        <w:t xml:space="preserve">, supporting and encouraging </w:t>
      </w:r>
      <w:r w:rsidR="005307FE">
        <w:rPr>
          <w:rFonts w:ascii="Arial" w:hAnsi="Arial"/>
        </w:rPr>
        <w:t>collaborative</w:t>
      </w:r>
      <w:r w:rsidRPr="00F83D6A">
        <w:rPr>
          <w:rFonts w:ascii="Arial" w:hAnsi="Arial"/>
        </w:rPr>
        <w:t xml:space="preserve"> development of supply chains</w:t>
      </w:r>
      <w:r w:rsidR="005307FE">
        <w:rPr>
          <w:rFonts w:ascii="Arial" w:hAnsi="Arial"/>
        </w:rPr>
        <w:t xml:space="preserve"> to become more competitive</w:t>
      </w:r>
      <w:r w:rsidRPr="00F83D6A">
        <w:rPr>
          <w:rFonts w:ascii="Arial" w:hAnsi="Arial"/>
        </w:rPr>
        <w:t xml:space="preserve">; </w:t>
      </w:r>
    </w:p>
    <w:p w:rsidR="00651E79" w:rsidRDefault="00651E79" w:rsidP="00651E79">
      <w:pPr>
        <w:pStyle w:val="ListParagraph"/>
        <w:numPr>
          <w:ilvl w:val="0"/>
          <w:numId w:val="17"/>
        </w:numPr>
        <w:spacing w:line="240" w:lineRule="auto"/>
        <w:jc w:val="both"/>
        <w:rPr>
          <w:rFonts w:ascii="Arial" w:hAnsi="Arial"/>
        </w:rPr>
      </w:pPr>
      <w:proofErr w:type="gramStart"/>
      <w:r w:rsidRPr="00F83D6A">
        <w:rPr>
          <w:rFonts w:ascii="Arial" w:hAnsi="Arial"/>
        </w:rPr>
        <w:t>promoting</w:t>
      </w:r>
      <w:proofErr w:type="gramEnd"/>
      <w:r w:rsidRPr="00F83D6A">
        <w:rPr>
          <w:rFonts w:ascii="Arial" w:hAnsi="Arial"/>
        </w:rPr>
        <w:t xml:space="preserve"> best practice. </w:t>
      </w:r>
    </w:p>
    <w:p w:rsidR="00651E79" w:rsidRDefault="00651E79" w:rsidP="00651E79">
      <w:r w:rsidRPr="00F83D6A">
        <w:t>If public subsidy for improved animal welfare is justified, on free-rider grounds, then the analysis here strongly suggests that such subsidy should be provided to retailers of recognized animal welfare products – as a consumption subsidy, rather than as a production</w:t>
      </w:r>
      <w:r>
        <w:t xml:space="preserve"> or producer</w:t>
      </w:r>
      <w:r w:rsidRPr="00F83D6A">
        <w:t xml:space="preserve"> subsidy. </w:t>
      </w:r>
    </w:p>
    <w:p w:rsidR="00651E79" w:rsidRDefault="00651E79" w:rsidP="00651E79">
      <w:r>
        <w:t xml:space="preserve">We explored the possible linkages between improved welfare standards, improved animal welfare and supply chain competitiveness using a </w:t>
      </w:r>
      <w:r w:rsidRPr="00CE0EE7">
        <w:rPr>
          <w:i/>
        </w:rPr>
        <w:t>belief network</w:t>
      </w:r>
      <w:r>
        <w:t>, calibrated with 85 responses from our stakeholder panel. Almost 75% of responses considered that existing on-farm standards were at least ‘strong’, although fewer believed that off-farm standards are strong (56%). However, 63% consider that current market demand for animal welfare friendly products is weak to non-existent.  Against this background, our respondents were asked to consider the consequences of improving standards through one of four major routes (raising legal minima; introducing or extending premium standards; increasing compliance with existing standards; extending best practice) for each of on-farm and off-farm standards. While our respondents’ imagined changes were (not surprisingly) believed to improve animal welfare substantially, they were also believed to lead to a 1 in 3 possibility of reduced margins and competitiveness. On the other hand, even against a general background of weak market demand, these changes were believed by our panel to have a similar change (1 in 3) of improving margins and competitiveness, albeit with more likelihood of reduced output/throughput and increased concentration in both the farm and chain sectors. Specifically, increasing compliance with existing standards is associated in this calibrated belief network with increased costs and reduced margins at both the farm and the chain level. These results can only be treated as indicative, since 85 responses are not really sufficient to calibrate the belief system reliably. Nevertheless, the approach appears to be worth pursuit as a simplified method of identifying beliefs about the animal welfare system amongst stakeholders.</w:t>
      </w:r>
    </w:p>
    <w:p w:rsidR="00651E79" w:rsidRDefault="00651E79">
      <w:pPr>
        <w:pStyle w:val="Heading2"/>
        <w:rPr>
          <w:szCs w:val="22"/>
        </w:rPr>
      </w:pPr>
    </w:p>
    <w:p w:rsidR="005E3F72" w:rsidRPr="007A0F45" w:rsidRDefault="00651E79" w:rsidP="007A0F45">
      <w:pPr>
        <w:pStyle w:val="TOCHeading"/>
        <w:rPr>
          <w:rFonts w:cs="Arial"/>
          <w:szCs w:val="24"/>
          <w:lang w:val="it-IT"/>
        </w:rPr>
      </w:pPr>
      <w:r>
        <w:br w:type="page"/>
      </w:r>
      <w:r w:rsidR="00DB7626" w:rsidRPr="00DB7626">
        <w:t>Background</w:t>
      </w:r>
    </w:p>
    <w:p w:rsidR="00E6322A" w:rsidRPr="00E6322A" w:rsidRDefault="00E6322A" w:rsidP="003C69B4">
      <w:pPr>
        <w:spacing w:before="60" w:after="60" w:line="220" w:lineRule="atLeast"/>
      </w:pPr>
      <w:r w:rsidRPr="00E6322A">
        <w:t>Econ-Welfare is a response to the 7</w:t>
      </w:r>
      <w:r w:rsidRPr="00E6322A">
        <w:rPr>
          <w:vertAlign w:val="superscript"/>
        </w:rPr>
        <w:t>th</w:t>
      </w:r>
      <w:r w:rsidRPr="00E6322A">
        <w:t xml:space="preserve"> Framework Programme call KBBE-2007-1-4-15: “</w:t>
      </w:r>
      <w:r w:rsidRPr="00E6322A">
        <w:rPr>
          <w:i/>
        </w:rPr>
        <w:t>Assessing the socio-economic consequences of measures promoting good animal welfare</w:t>
      </w:r>
      <w:r w:rsidRPr="00E6322A">
        <w:t xml:space="preserve">”. Central to this call is </w:t>
      </w:r>
      <w:r>
        <w:t xml:space="preserve">the need to </w:t>
      </w:r>
      <w:r w:rsidRPr="00E6322A">
        <w:t>support develop</w:t>
      </w:r>
      <w:r>
        <w:t>ment of</w:t>
      </w:r>
      <w:r w:rsidRPr="00E6322A">
        <w:t xml:space="preserve"> European policies implementing the Community Action Plan on the Protection and Welfare of Animals. Our project (Econ-Welfare) has as its overall objective: “</w:t>
      </w:r>
      <w:r w:rsidRPr="00E6322A">
        <w:rPr>
          <w:i/>
        </w:rPr>
        <w:t>to reveal what policy instruments might be effective in the route towards higher animal welfare representing the concerns of civil society and in which competitiveness of the livestock industry is guaranteed.</w:t>
      </w:r>
      <w:r w:rsidRPr="00E6322A">
        <w:t>”</w:t>
      </w:r>
    </w:p>
    <w:p w:rsidR="003C69B4" w:rsidRPr="003C69B4" w:rsidRDefault="003C69B4" w:rsidP="003C69B4">
      <w:pPr>
        <w:spacing w:before="60" w:after="60" w:line="220" w:lineRule="atLeast"/>
      </w:pPr>
      <w:r>
        <w:t xml:space="preserve">As originally conceived, </w:t>
      </w:r>
      <w:r w:rsidR="005E3F72">
        <w:t xml:space="preserve">Econ Welfare </w:t>
      </w:r>
      <w:r>
        <w:t>WPs1, 2 and 3 were expected to define a short list of specific upgrades to current animal welfare standards as evidenced by extensive stakeholder engagement under the work-packages.  The socio-economic consequences of these specific improvements in animal welfare standards were then to be assessed under WP4</w:t>
      </w:r>
      <w:r w:rsidR="008D4973">
        <w:t xml:space="preserve">. </w:t>
      </w:r>
      <w:r>
        <w:t xml:space="preserve">In the event, </w:t>
      </w:r>
      <w:r w:rsidR="00885EB5">
        <w:t xml:space="preserve">it became clear that </w:t>
      </w:r>
      <w:r>
        <w:t xml:space="preserve">such a short list of specific improvements </w:t>
      </w:r>
      <w:r w:rsidR="00885EB5">
        <w:t>was not appropriate, or even possible to</w:t>
      </w:r>
      <w:r w:rsidR="008D4973">
        <w:t xml:space="preserve"> </w:t>
      </w:r>
      <w:r w:rsidR="00885EB5">
        <w:t>identify</w:t>
      </w:r>
      <w:r w:rsidR="008D4973">
        <w:t>, as Europe’s member states and segments of the supply chains move at different speeds towards higher levels of animal welfare, and different short lists apply to different regions, sectors (species), market segments and countries.</w:t>
      </w:r>
      <w:r>
        <w:t xml:space="preserve"> </w:t>
      </w:r>
      <w:r w:rsidR="008D4973">
        <w:t>As</w:t>
      </w:r>
      <w:r>
        <w:t xml:space="preserve"> described in previous deliverables, more general policy approaches and instruments have been identified, and their general strengths and weaknesses explored (D3.1). These approaches (objectives, instruments and indicators) have been assessed and ranked</w:t>
      </w:r>
      <w:r w:rsidR="00885EB5">
        <w:t xml:space="preserve"> by stakeholders (D3.2 and 3.3), an</w:t>
      </w:r>
      <w:r w:rsidR="00B101A3">
        <w:t>d</w:t>
      </w:r>
      <w:r w:rsidR="00885EB5">
        <w:t xml:space="preserve"> subsequently logically ordered to reflect the current conditions of animal welfare in each country or sector</w:t>
      </w:r>
      <w:r w:rsidR="00B101A3">
        <w:t xml:space="preserve"> in D3.4.  However, the diversity of conditions and differential rankings prevented any quantitative analysis of the potential consequences of these objectives or instruments.</w:t>
      </w:r>
    </w:p>
    <w:p w:rsidR="00427888" w:rsidRDefault="00905A48" w:rsidP="005831C4">
      <w:pPr>
        <w:spacing w:after="200" w:line="220" w:lineRule="atLeast"/>
        <w:rPr>
          <w:rFonts w:cs="Arial"/>
          <w:szCs w:val="22"/>
        </w:rPr>
      </w:pPr>
      <w:r>
        <w:rPr>
          <w:rFonts w:cs="Arial"/>
          <w:szCs w:val="22"/>
        </w:rPr>
        <w:t>We have illustrated the economic consequences</w:t>
      </w:r>
      <w:r w:rsidRPr="00905A48">
        <w:rPr>
          <w:rFonts w:cs="Arial"/>
          <w:szCs w:val="22"/>
        </w:rPr>
        <w:t xml:space="preserve"> </w:t>
      </w:r>
      <w:r>
        <w:rPr>
          <w:rFonts w:cs="Arial"/>
          <w:szCs w:val="22"/>
        </w:rPr>
        <w:t xml:space="preserve">at the farm level of </w:t>
      </w:r>
      <w:r w:rsidR="00C4288A">
        <w:rPr>
          <w:rFonts w:cs="Arial"/>
          <w:szCs w:val="22"/>
        </w:rPr>
        <w:t>indicative</w:t>
      </w:r>
      <w:r>
        <w:rPr>
          <w:rFonts w:cs="Arial"/>
          <w:szCs w:val="22"/>
        </w:rPr>
        <w:t xml:space="preserve"> improvements in animal welfare conditions (as</w:t>
      </w:r>
      <w:r w:rsidR="00323CFB">
        <w:rPr>
          <w:rFonts w:cs="Arial"/>
          <w:szCs w:val="22"/>
        </w:rPr>
        <w:t xml:space="preserve"> pre-defined</w:t>
      </w:r>
      <w:r>
        <w:rPr>
          <w:rFonts w:cs="Arial"/>
          <w:szCs w:val="22"/>
        </w:rPr>
        <w:t xml:space="preserve"> specific standards, each of which is comprised of</w:t>
      </w:r>
      <w:r w:rsidR="00C4288A">
        <w:rPr>
          <w:rFonts w:cs="Arial"/>
          <w:szCs w:val="22"/>
        </w:rPr>
        <w:t xml:space="preserve"> a number of detailed norms</w:t>
      </w:r>
      <w:r>
        <w:rPr>
          <w:rFonts w:cs="Arial"/>
          <w:szCs w:val="22"/>
        </w:rPr>
        <w:t xml:space="preserve"> (D4.1)</w:t>
      </w:r>
      <w:r w:rsidR="00C4288A">
        <w:rPr>
          <w:rFonts w:cs="Arial"/>
          <w:szCs w:val="22"/>
        </w:rPr>
        <w:t>)</w:t>
      </w:r>
      <w:r>
        <w:rPr>
          <w:rFonts w:cs="Arial"/>
          <w:szCs w:val="22"/>
        </w:rPr>
        <w:t>.  However, the consequences of such detailed changes throughout the supply or marketing chain are more problematic</w:t>
      </w:r>
      <w:r w:rsidR="00B101A3">
        <w:rPr>
          <w:rFonts w:cs="Arial"/>
          <w:szCs w:val="22"/>
        </w:rPr>
        <w:t xml:space="preserve"> (see below, Chain Consequences of Improved Standards)</w:t>
      </w:r>
      <w:r>
        <w:rPr>
          <w:rFonts w:cs="Arial"/>
          <w:szCs w:val="22"/>
        </w:rPr>
        <w:t xml:space="preserve">.  The short answer to the question of what the consequences will be is that “it all depends”. In this deliverable, we explore the factors and circumstances on which these consequences depend, and </w:t>
      </w:r>
      <w:r w:rsidR="00427888">
        <w:rPr>
          <w:rFonts w:cs="Arial"/>
          <w:szCs w:val="22"/>
        </w:rPr>
        <w:t xml:space="preserve">develop approaches </w:t>
      </w:r>
      <w:r w:rsidR="005831C4">
        <w:rPr>
          <w:rFonts w:cs="Arial"/>
          <w:szCs w:val="22"/>
        </w:rPr>
        <w:t>that</w:t>
      </w:r>
      <w:r w:rsidR="00427888">
        <w:rPr>
          <w:rFonts w:cs="Arial"/>
          <w:szCs w:val="22"/>
        </w:rPr>
        <w:t xml:space="preserve"> should be useful in identifying the consequences of specific changes in standards and practices in the future.</w:t>
      </w:r>
    </w:p>
    <w:p w:rsidR="00427888" w:rsidRDefault="00427888" w:rsidP="00545820">
      <w:pPr>
        <w:pStyle w:val="TOCHeading"/>
      </w:pPr>
      <w:proofErr w:type="spellStart"/>
      <w:r>
        <w:t>EconWelfare</w:t>
      </w:r>
      <w:proofErr w:type="spellEnd"/>
      <w:r>
        <w:t xml:space="preserve"> </w:t>
      </w:r>
      <w:proofErr w:type="spellStart"/>
      <w:r>
        <w:t>Workpackage</w:t>
      </w:r>
      <w:proofErr w:type="spellEnd"/>
      <w:r>
        <w:t xml:space="preserve"> 4 (WP4)</w:t>
      </w:r>
    </w:p>
    <w:p w:rsidR="00B076BD" w:rsidRDefault="005831C4" w:rsidP="00545820">
      <w:pPr>
        <w:spacing w:before="60" w:line="220" w:lineRule="atLeast"/>
      </w:pPr>
      <w:r w:rsidRPr="005831C4">
        <w:t>Having assessed the financial implications of introducing</w:t>
      </w:r>
      <w:r w:rsidR="00B65850">
        <w:t xml:space="preserve"> specific</w:t>
      </w:r>
      <w:r w:rsidRPr="005831C4">
        <w:t xml:space="preserve"> upgraded animal welfare standards at the farm level</w:t>
      </w:r>
      <w:r>
        <w:t xml:space="preserve"> (D4.1), the objective of this part of WP4 is to </w:t>
      </w:r>
      <w:r w:rsidRPr="005E3F72">
        <w:rPr>
          <w:i/>
        </w:rPr>
        <w:t>“estimate consequences of imposing upgraded standards through the distribution chain.”</w:t>
      </w:r>
      <w:r>
        <w:t xml:space="preserve">  Since the illustrative upgrades to standards assessed at the farm level</w:t>
      </w:r>
      <w:r w:rsidR="00D85130">
        <w:t xml:space="preserve"> applied only to the farm level, their specific consequences throughout the chain are largely restricted to the effects of the increased farm level costs on market shares and competitiveness.</w:t>
      </w:r>
      <w:r w:rsidR="003505E9">
        <w:t xml:space="preserve"> </w:t>
      </w:r>
      <w:r w:rsidR="00EF33CB">
        <w:t xml:space="preserve">In order to assess such effects, it is necessary to consider the market structure and the conditions of market demand, </w:t>
      </w:r>
      <w:r w:rsidR="005E3F72">
        <w:t>against</w:t>
      </w:r>
      <w:r w:rsidR="00EF33CB">
        <w:t xml:space="preserve"> the background of cu</w:t>
      </w:r>
      <w:r w:rsidR="00DF400B">
        <w:t>rrent levels of and compliance with existing stand</w:t>
      </w:r>
      <w:r w:rsidR="005A79B2">
        <w:t>ards. As well documented in D1.1 and 2.3</w:t>
      </w:r>
      <w:r w:rsidR="00DF400B">
        <w:t xml:space="preserve">, there is a wide diversity of existing standards against which to consider the introduction of new standards. </w:t>
      </w:r>
    </w:p>
    <w:p w:rsidR="00CF2C1A" w:rsidRDefault="00DF400B" w:rsidP="00545820">
      <w:pPr>
        <w:spacing w:before="60" w:line="220" w:lineRule="atLeast"/>
      </w:pPr>
      <w:r>
        <w:t>Moreover, new standards are not necessarily the only or the most appropriate or effective ways of improving animal welfare in the EU.</w:t>
      </w:r>
      <w:r w:rsidR="00E34E38">
        <w:t xml:space="preserve"> Increasing compliance with existing standards, and extending existing best practices throughout the chain may be more effective and efficient than introducing new standards.</w:t>
      </w:r>
      <w:r w:rsidR="00D42975">
        <w:t xml:space="preserve">  In fact, there already exist </w:t>
      </w:r>
      <w:r w:rsidR="005A0209">
        <w:t xml:space="preserve">many </w:t>
      </w:r>
      <w:r w:rsidR="00D42975">
        <w:t>examples of higher standards within the EU.  Simply identifying the costs</w:t>
      </w:r>
      <w:r w:rsidR="00E34E38">
        <w:t xml:space="preserve"> </w:t>
      </w:r>
      <w:r w:rsidR="00D42975">
        <w:t>(and production/marketing efficiency benefits) of these higher standards (as envisaged in the original Description of Work) hardly serves to answer the more relevant and difficult questions of why these higher standards are not already more widely spread throughout the EU, or what might be done to speed their extension.</w:t>
      </w:r>
      <w:r w:rsidR="00B076BD">
        <w:t xml:space="preserve"> Answering such questions requires consideration of consumers’ demand for animal welfare</w:t>
      </w:r>
      <w:r w:rsidR="00B101A3">
        <w:t>, as reflected by retailers’ derived demands for specific products and associated production and processing provenance.</w:t>
      </w:r>
      <w:r w:rsidR="00B076BD">
        <w:t xml:space="preserve"> </w:t>
      </w:r>
      <w:r w:rsidR="00B101A3">
        <w:t>In turn, the</w:t>
      </w:r>
      <w:r w:rsidR="00B076BD">
        <w:t>s</w:t>
      </w:r>
      <w:r w:rsidR="00B101A3">
        <w:t>e factors lead to</w:t>
      </w:r>
      <w:r w:rsidR="00B076BD">
        <w:t xml:space="preserve"> consideration of why </w:t>
      </w:r>
      <w:r w:rsidR="00B101A3">
        <w:t>consumer and associated retail demands</w:t>
      </w:r>
      <w:r w:rsidR="00B076BD">
        <w:t xml:space="preserve"> might be different from (and typically less effective than) citizens’ </w:t>
      </w:r>
      <w:r w:rsidR="00CF2C1A">
        <w:t xml:space="preserve">expressed preferences for </w:t>
      </w:r>
      <w:r w:rsidR="005E3F72">
        <w:t xml:space="preserve">levels of and </w:t>
      </w:r>
      <w:r w:rsidR="00CF2C1A">
        <w:t>improvements in animal welfare.</w:t>
      </w:r>
    </w:p>
    <w:p w:rsidR="00E67816" w:rsidRDefault="00BB139D" w:rsidP="00545820">
      <w:pPr>
        <w:spacing w:before="60" w:line="220" w:lineRule="atLeast"/>
      </w:pPr>
      <w:r>
        <w:t>It is scientifically ille</w:t>
      </w:r>
      <w:r w:rsidR="0096033D">
        <w:t>git</w:t>
      </w:r>
      <w:r>
        <w:t>i</w:t>
      </w:r>
      <w:r w:rsidR="0096033D">
        <w:t>mate to</w:t>
      </w:r>
      <w:r>
        <w:t xml:space="preserve"> generalise from the particular – to draw generally applicable conclusions from specific examples or cases. Illustrative calculations of specific cases (as in D4.1) need a generally agreed framework within which the implications can be assessed. </w:t>
      </w:r>
      <w:r w:rsidR="0096033D">
        <w:t xml:space="preserve"> </w:t>
      </w:r>
      <w:r w:rsidR="005A0209">
        <w:t>To this end</w:t>
      </w:r>
      <w:r w:rsidR="00CF2C1A">
        <w:t xml:space="preserve">, this deliverable </w:t>
      </w:r>
      <w:r>
        <w:t>begins by outlining such a generally agreed framework (</w:t>
      </w:r>
      <w:r w:rsidRPr="005E3F72">
        <w:rPr>
          <w:i/>
        </w:rPr>
        <w:t>Socio-Economic Principles</w:t>
      </w:r>
      <w:r>
        <w:t>) and develops a procedure through which this general framework might be practically implemented (</w:t>
      </w:r>
      <w:r w:rsidRPr="005E3F72">
        <w:rPr>
          <w:i/>
        </w:rPr>
        <w:t>Chain Belief Network</w:t>
      </w:r>
      <w:r>
        <w:t>) to identify the most useful and effective routes to improving animal welfare</w:t>
      </w:r>
      <w:r w:rsidR="00CF2C1A">
        <w:t>.</w:t>
      </w:r>
    </w:p>
    <w:p w:rsidR="00545820" w:rsidRDefault="00E67816" w:rsidP="00545820">
      <w:pPr>
        <w:spacing w:before="60" w:line="220" w:lineRule="atLeast"/>
      </w:pPr>
      <w:r>
        <w:t xml:space="preserve">As such, this deliverable differs substantially from the previous deliverables. We are obliged to rely on an analytic approach rather than more surveys of and engagements with stakeholders in the first instance, especially since our stakeholder engagement could not possibly include adequate representation of the whole of society (all members of which can be considered to have a stake in animal welfare). Furthermore, the present condition of animal welfare across the EU is the outcome of extremely complex socio-economic and political systems, and the consequences of any changes are also dependent on the specific conditions and behaviours of these complex systems. Without some preconceived conceptual </w:t>
      </w:r>
      <w:proofErr w:type="gramStart"/>
      <w:r>
        <w:t>framework which</w:t>
      </w:r>
      <w:proofErr w:type="gramEnd"/>
      <w:r>
        <w:t xml:space="preserve"> organises and integrates the fundamental elements of these systems, it is simply not possible to make sense of or appreciate the ‘data’ (information and observations) which these systems generate.</w:t>
      </w:r>
      <w:r w:rsidR="00927EBF">
        <w:t xml:space="preserve"> The conceptual framework we use is necessarily based on </w:t>
      </w:r>
      <w:r w:rsidR="00247FE5">
        <w:t xml:space="preserve">rather </w:t>
      </w:r>
      <w:r w:rsidR="00927EBF">
        <w:t>conventional economic analysis, since there is no other</w:t>
      </w:r>
      <w:r w:rsidR="005E3F72">
        <w:t xml:space="preserve"> comprehensive framework</w:t>
      </w:r>
      <w:r w:rsidR="00927EBF">
        <w:t xml:space="preserve"> with systematic or substantive analytical capacity.</w:t>
      </w:r>
    </w:p>
    <w:p w:rsidR="005A0209" w:rsidRDefault="005A0209" w:rsidP="00545B5C">
      <w:pPr>
        <w:pStyle w:val="TOCHeading"/>
      </w:pPr>
      <w:r>
        <w:t>Socio-Economic Principles</w:t>
      </w:r>
    </w:p>
    <w:p w:rsidR="00545B5C" w:rsidRPr="005A0209" w:rsidRDefault="00955A33" w:rsidP="00545B5C">
      <w:pPr>
        <w:pStyle w:val="TOCHeading"/>
        <w:rPr>
          <w:i/>
        </w:rPr>
      </w:pPr>
      <w:proofErr w:type="gramStart"/>
      <w:r w:rsidRPr="005A0209">
        <w:rPr>
          <w:i/>
        </w:rPr>
        <w:t xml:space="preserve">Animal Welfare </w:t>
      </w:r>
      <w:r w:rsidR="005A0209" w:rsidRPr="005A0209">
        <w:rPr>
          <w:i/>
        </w:rPr>
        <w:t>P</w:t>
      </w:r>
      <w:r w:rsidR="00810793" w:rsidRPr="005A0209">
        <w:rPr>
          <w:i/>
        </w:rPr>
        <w:t xml:space="preserve">roduction </w:t>
      </w:r>
      <w:r w:rsidR="005A0209" w:rsidRPr="005A0209">
        <w:rPr>
          <w:i/>
        </w:rPr>
        <w:t>P</w:t>
      </w:r>
      <w:r w:rsidRPr="005A0209">
        <w:rPr>
          <w:i/>
        </w:rPr>
        <w:t>ossibilities</w:t>
      </w:r>
      <w:r w:rsidR="00545B5C" w:rsidRPr="005A0209">
        <w:rPr>
          <w:i/>
        </w:rPr>
        <w:t>.</w:t>
      </w:r>
      <w:proofErr w:type="gramEnd"/>
    </w:p>
    <w:p w:rsidR="00FD1157" w:rsidRDefault="00FD1157" w:rsidP="00545B5C">
      <w:r>
        <w:t xml:space="preserve">Previous deliverables have described very considerable complexity in the institutions and practices affecting animal welfare within the EU. </w:t>
      </w:r>
      <w:r w:rsidR="008B333A">
        <w:t>A ‘common story’ is needed to explain how this complexity arises if sensible and robust conclusion</w:t>
      </w:r>
      <w:r w:rsidR="00CD4B4A">
        <w:t>s are to be drawn about how to improve</w:t>
      </w:r>
      <w:r w:rsidR="008B333A">
        <w:t xml:space="preserve"> animal welfare conditions.</w:t>
      </w:r>
    </w:p>
    <w:p w:rsidR="00927EBF" w:rsidRDefault="008B333A" w:rsidP="008B333A">
      <w:r>
        <w:t>While a</w:t>
      </w:r>
      <w:r w:rsidRPr="008B333A">
        <w:t xml:space="preserve"> simple diagrammatic </w:t>
      </w:r>
      <w:r>
        <w:t xml:space="preserve">picture (or </w:t>
      </w:r>
      <w:r w:rsidRPr="008B333A">
        <w:t>model</w:t>
      </w:r>
      <w:r>
        <w:t xml:space="preserve">) cannot </w:t>
      </w:r>
      <w:r w:rsidRPr="008B333A">
        <w:t>portray the complexity of farming or marketing chain reality, the</w:t>
      </w:r>
      <w:r>
        <w:t xml:space="preserve"> following</w:t>
      </w:r>
      <w:r w:rsidRPr="008B333A">
        <w:t xml:space="preserve"> framework is logical, robust and now well accepted (</w:t>
      </w:r>
      <w:r w:rsidR="00F67A06">
        <w:t xml:space="preserve">e.g. </w:t>
      </w:r>
      <w:r w:rsidRPr="008B333A">
        <w:t>McInerney</w:t>
      </w:r>
      <w:proofErr w:type="gramStart"/>
      <w:r w:rsidR="001970B2">
        <w:t>,</w:t>
      </w:r>
      <w:r w:rsidR="00F67A06">
        <w:t>1991</w:t>
      </w:r>
      <w:proofErr w:type="gramEnd"/>
      <w:r w:rsidRPr="008B333A">
        <w:t xml:space="preserve">). </w:t>
      </w:r>
      <w:r w:rsidR="00F67A06">
        <w:t>The general picture is illustrated in Figure 1</w:t>
      </w:r>
      <w:r w:rsidR="00927EBF">
        <w:t>.</w:t>
      </w:r>
    </w:p>
    <w:p w:rsidR="00927EBF" w:rsidRDefault="00927EBF" w:rsidP="00927EBF">
      <w:r>
        <w:t xml:space="preserve">Socio-economic evolution of markets and associated government and governance (including R&amp;D) has progressively explored the possibilities of increasing animal productivity and, more lately, of improving animal welfare. The current (conceptual) frontier defining the best possible practices can be described as shown in Figure 1, as the black curve including points O, A and Y. As the curve illustrates, it is </w:t>
      </w:r>
      <w:r w:rsidR="00B101A3">
        <w:t>likely</w:t>
      </w:r>
      <w:r>
        <w:t xml:space="preserve"> that domestication</w:t>
      </w:r>
      <w:r w:rsidR="00B101A3">
        <w:t xml:space="preserve"> and subsequent cultivation</w:t>
      </w:r>
      <w:r>
        <w:t xml:space="preserve"> of wild animals has resulted in improvement in both animal productivity and animal welfare (top left hand segment of the frontier).  Similarly, it is also </w:t>
      </w:r>
      <w:r w:rsidR="00B101A3">
        <w:t>likely</w:t>
      </w:r>
      <w:r>
        <w:t xml:space="preserve"> (and not infrequently illustrated) that over-intensification can result in reductions in both productivity and welfare (bottom right hand segment of the frontier).</w:t>
      </w:r>
    </w:p>
    <w:p w:rsidR="00B101A3" w:rsidRDefault="00B101A3" w:rsidP="00F67A06">
      <w:pPr>
        <w:pStyle w:val="TableofFigures"/>
        <w:ind w:left="851" w:hanging="851"/>
      </w:pPr>
    </w:p>
    <w:p w:rsidR="00E964A8" w:rsidRDefault="00F67A06" w:rsidP="00F67A06">
      <w:pPr>
        <w:pStyle w:val="TableofFigures"/>
        <w:ind w:left="851" w:hanging="851"/>
      </w:pPr>
      <w:r>
        <w:t>Figure 1:</w:t>
      </w:r>
      <w:r>
        <w:tab/>
        <w:t>A possibil</w:t>
      </w:r>
      <w:r w:rsidR="00E964A8">
        <w:t>i</w:t>
      </w:r>
      <w:r>
        <w:t>ty</w:t>
      </w:r>
      <w:r w:rsidR="00E964A8">
        <w:t xml:space="preserve"> frontier for animal productivity and welfare</w:t>
      </w:r>
    </w:p>
    <w:p w:rsidR="00B101A3" w:rsidRDefault="001970B2" w:rsidP="001970B2">
      <w:pPr>
        <w:pStyle w:val="TableofFigures"/>
        <w:ind w:left="851" w:hanging="851"/>
      </w:pPr>
      <w:r w:rsidRPr="001970B2">
        <w:rPr>
          <w:noProof/>
          <w:lang w:val="en-US" w:eastAsia="en-US"/>
        </w:rPr>
        <w:drawing>
          <wp:inline distT="0" distB="0" distL="0" distR="0">
            <wp:extent cx="5260128" cy="4117128"/>
            <wp:effectExtent l="0" t="0" r="0" b="0"/>
            <wp:docPr id="6" name="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019800" cy="4711700"/>
                      <a:chOff x="838200" y="1601788"/>
                      <a:chExt cx="6019800" cy="4711700"/>
                    </a:xfrm>
                  </a:grpSpPr>
                  <a:grpSp>
                    <a:nvGrpSpPr>
                      <a:cNvPr id="62" name="Group 61"/>
                      <a:cNvGrpSpPr/>
                    </a:nvGrpSpPr>
                    <a:grpSpPr>
                      <a:xfrm>
                        <a:off x="838200" y="1601788"/>
                        <a:ext cx="6019800" cy="4711700"/>
                        <a:chOff x="838200" y="1601788"/>
                        <a:chExt cx="6019800" cy="4711700"/>
                      </a:xfrm>
                    </a:grpSpPr>
                    <a:grpSp>
                      <a:nvGrpSpPr>
                        <a:cNvPr id="3" name="Group 59"/>
                        <a:cNvGrpSpPr/>
                      </a:nvGrpSpPr>
                      <a:grpSpPr>
                        <a:xfrm>
                          <a:off x="838200" y="1601788"/>
                          <a:ext cx="6019800" cy="4711700"/>
                          <a:chOff x="838200" y="1601788"/>
                          <a:chExt cx="6019800" cy="4711700"/>
                        </a:xfrm>
                      </a:grpSpPr>
                      <a:sp>
                        <a:nvSpPr>
                          <a:cNvPr id="45" name="TextBox 44"/>
                          <a:cNvSpPr txBox="1"/>
                        </a:nvSpPr>
                        <a:spPr>
                          <a:xfrm>
                            <a:off x="3962400" y="2362200"/>
                            <a:ext cx="325730" cy="523220"/>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2800" dirty="0"/>
                                <a:t>*</a:t>
                              </a:r>
                            </a:p>
                          </a:txBody>
                          <a:useSpRect/>
                        </a:txSp>
                      </a:sp>
                      <a:grpSp>
                        <a:nvGrpSpPr>
                          <a:cNvPr id="6" name="Group 39"/>
                          <a:cNvGrpSpPr/>
                        </a:nvGrpSpPr>
                        <a:grpSpPr>
                          <a:xfrm>
                            <a:off x="838200" y="1601788"/>
                            <a:ext cx="6019800" cy="4711700"/>
                            <a:chOff x="838200" y="1601788"/>
                            <a:chExt cx="6019800" cy="4711700"/>
                          </a:xfrm>
                        </a:grpSpPr>
                        <a:grpSp>
                          <a:nvGrpSpPr>
                            <a:cNvPr id="17" name="Group 21"/>
                            <a:cNvGrpSpPr/>
                          </a:nvGrpSpPr>
                          <a:grpSpPr>
                            <a:xfrm>
                              <a:off x="838200" y="1601788"/>
                              <a:ext cx="6019800" cy="4711700"/>
                              <a:chOff x="838200" y="1601788"/>
                              <a:chExt cx="6019800" cy="4711700"/>
                            </a:xfrm>
                          </a:grpSpPr>
                          <a:cxnSp>
                            <a:nvCxnSpPr>
                              <a:cNvPr id="5" name="Straight Connector 4"/>
                              <a:cNvCxnSpPr>
                                <a:cxnSpLocks noChangeShapeType="1"/>
                              </a:cNvCxnSpPr>
                            </a:nvCxnSpPr>
                            <a:spPr bwMode="auto">
                              <a:xfrm rot="5400000">
                                <a:off x="-457199" y="3733800"/>
                                <a:ext cx="4267200" cy="3175"/>
                              </a:xfrm>
                              <a:prstGeom prst="line">
                                <a:avLst/>
                              </a:prstGeom>
                              <a:noFill/>
                              <a:ln w="25400">
                                <a:solidFill>
                                  <a:schemeClr val="accent1"/>
                                </a:solidFill>
                                <a:round/>
                                <a:headEnd type="arrow" w="med" len="med"/>
                                <a:tailEnd/>
                              </a:ln>
                              <a:effectLst>
                                <a:outerShdw blurRad="40000" dist="20000" dir="5400000" rotWithShape="0">
                                  <a:srgbClr val="000000">
                                    <a:alpha val="37999"/>
                                  </a:srgbClr>
                                </a:outerShdw>
                              </a:effectLst>
                            </a:spPr>
                          </a:cxnSp>
                          <a:cxnSp>
                            <a:nvCxnSpPr>
                              <a:cNvPr id="7" name="Straight Connector 6"/>
                              <a:cNvCxnSpPr>
                                <a:cxnSpLocks noChangeShapeType="1"/>
                              </a:cNvCxnSpPr>
                            </a:nvCxnSpPr>
                            <a:spPr bwMode="auto">
                              <a:xfrm>
                                <a:off x="1524000" y="5715000"/>
                                <a:ext cx="4800600" cy="1588"/>
                              </a:xfrm>
                              <a:prstGeom prst="line">
                                <a:avLst/>
                              </a:prstGeom>
                              <a:noFill/>
                              <a:ln w="25400">
                                <a:solidFill>
                                  <a:schemeClr val="accent1"/>
                                </a:solidFill>
                                <a:round/>
                                <a:headEnd/>
                                <a:tailEnd type="arrow" w="med" len="med"/>
                              </a:ln>
                              <a:effectLst>
                                <a:outerShdw blurRad="40000" dist="20000" dir="5400000" rotWithShape="0">
                                  <a:srgbClr val="000000">
                                    <a:alpha val="37999"/>
                                  </a:srgbClr>
                                </a:outerShdw>
                              </a:effectLst>
                            </a:spPr>
                          </a:cxnSp>
                          <a:sp>
                            <a:nvSpPr>
                              <a:cNvPr id="9" name="TextBox 8"/>
                              <a:cNvSpPr txBox="1"/>
                            </a:nvSpPr>
                            <a:spPr>
                              <a:xfrm>
                                <a:off x="990600" y="2971800"/>
                                <a:ext cx="461665" cy="1665981"/>
                              </a:xfrm>
                              <a:prstGeom prst="rect">
                                <a:avLst/>
                              </a:prstGeom>
                              <a:noFill/>
                            </a:spPr>
                            <a:txSp>
                              <a:txBody>
                                <a:bodyPr vert="vert270" wrap="none">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defRPr/>
                                  </a:pPr>
                                  <a:r>
                                    <a:rPr lang="en-US" dirty="0">
                                      <a:latin typeface="Arial" pitchFamily="-110" charset="0"/>
                                      <a:ea typeface="+mn-ea"/>
                                      <a:cs typeface="+mn-cs"/>
                                    </a:rPr>
                                    <a:t>Animal Welfare</a:t>
                                  </a:r>
                                </a:p>
                              </a:txBody>
                              <a:useSpRect/>
                            </a:txSp>
                          </a:sp>
                          <a:sp>
                            <a:nvSpPr>
                              <a:cNvPr id="25607" name="TextBox 9"/>
                              <a:cNvSpPr txBox="1">
                                <a:spLocks noChangeArrowheads="1"/>
                              </a:cNvSpPr>
                            </a:nvSpPr>
                            <a:spPr bwMode="auto">
                              <a:xfrm>
                                <a:off x="3276600" y="5943600"/>
                                <a:ext cx="2403475" cy="369888"/>
                              </a:xfrm>
                              <a:prstGeom prst="rect">
                                <a:avLst/>
                              </a:prstGeom>
                              <a:noFill/>
                              <a:ln w="9525">
                                <a:noFill/>
                                <a:miter lim="800000"/>
                                <a:headEnd/>
                                <a:tailEnd/>
                              </a:ln>
                            </a:spPr>
                            <a:txSp>
                              <a:txBody>
                                <a:bodyPr wrap="none">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a:t>Livestock Productivity</a:t>
                                  </a:r>
                                </a:p>
                              </a:txBody>
                              <a:useSpRect/>
                            </a:txSp>
                          </a:sp>
                          <a:sp>
                            <a:nvSpPr>
                              <a:cNvPr id="11" name="Freeform 10"/>
                              <a:cNvSpPr>
                                <a:spLocks noChangeArrowheads="1"/>
                              </a:cNvSpPr>
                            </a:nvSpPr>
                            <a:spPr bwMode="auto">
                              <a:xfrm>
                                <a:off x="1658938" y="2409825"/>
                                <a:ext cx="4354512" cy="3313113"/>
                              </a:xfrm>
                              <a:custGeom>
                                <a:avLst/>
                                <a:gdLst>
                                  <a:gd name="T0" fmla="*/ 0 w 4354689"/>
                                  <a:gd name="T1" fmla="*/ 620856 h 3313289"/>
                                  <a:gd name="T2" fmla="*/ 1032891 w 4354689"/>
                                  <a:gd name="T3" fmla="*/ 28221 h 3313289"/>
                                  <a:gd name="T4" fmla="*/ 3064808 w 4354689"/>
                                  <a:gd name="T5" fmla="*/ 451531 h 3313289"/>
                                  <a:gd name="T6" fmla="*/ 4216229 w 4354689"/>
                                  <a:gd name="T7" fmla="*/ 2398762 h 3313289"/>
                                  <a:gd name="T8" fmla="*/ 3894508 w 4354689"/>
                                  <a:gd name="T9" fmla="*/ 3313113 h 3313289"/>
                                  <a:gd name="T10" fmla="*/ 3894508 w 4354689"/>
                                  <a:gd name="T11" fmla="*/ 3313113 h 3313289"/>
                                  <a:gd name="T12" fmla="*/ 0 60000 65536"/>
                                  <a:gd name="T13" fmla="*/ 0 60000 65536"/>
                                  <a:gd name="T14" fmla="*/ 0 60000 65536"/>
                                  <a:gd name="T15" fmla="*/ 0 60000 65536"/>
                                  <a:gd name="T16" fmla="*/ 0 60000 65536"/>
                                  <a:gd name="T17" fmla="*/ 0 60000 65536"/>
                                  <a:gd name="T18" fmla="*/ 0 w 4354689"/>
                                  <a:gd name="T19" fmla="*/ 0 h 3313289"/>
                                  <a:gd name="T20" fmla="*/ 4354689 w 4354689"/>
                                  <a:gd name="T21" fmla="*/ 3313289 h 3313289"/>
                                </a:gdLst>
                                <a:ahLst/>
                                <a:cxnLst>
                                  <a:cxn ang="T12">
                                    <a:pos x="T0" y="T1"/>
                                  </a:cxn>
                                  <a:cxn ang="T13">
                                    <a:pos x="T2" y="T3"/>
                                  </a:cxn>
                                  <a:cxn ang="T14">
                                    <a:pos x="T4" y="T5"/>
                                  </a:cxn>
                                  <a:cxn ang="T15">
                                    <a:pos x="T6" y="T7"/>
                                  </a:cxn>
                                  <a:cxn ang="T16">
                                    <a:pos x="T8" y="T9"/>
                                  </a:cxn>
                                  <a:cxn ang="T17">
                                    <a:pos x="T10" y="T11"/>
                                  </a:cxn>
                                </a:cxnLst>
                                <a:rect l="T18" t="T19" r="T20" b="T21"/>
                                <a:pathLst>
                                  <a:path w="4354689" h="3313289">
                                    <a:moveTo>
                                      <a:pt x="0" y="620889"/>
                                    </a:moveTo>
                                    <a:cubicBezTo>
                                      <a:pt x="261055" y="338666"/>
                                      <a:pt x="522111" y="56444"/>
                                      <a:pt x="1032933" y="28222"/>
                                    </a:cubicBezTo>
                                    <a:cubicBezTo>
                                      <a:pt x="1543755" y="0"/>
                                      <a:pt x="2534355" y="56444"/>
                                      <a:pt x="3064933" y="451555"/>
                                    </a:cubicBezTo>
                                    <a:cubicBezTo>
                                      <a:pt x="3595511" y="846666"/>
                                      <a:pt x="4078111" y="1921933"/>
                                      <a:pt x="4216400" y="2398889"/>
                                    </a:cubicBezTo>
                                    <a:cubicBezTo>
                                      <a:pt x="4354689" y="2875845"/>
                                      <a:pt x="3894666" y="3313289"/>
                                      <a:pt x="3894666" y="3313289"/>
                                    </a:cubicBezTo>
                                  </a:path>
                                </a:pathLst>
                              </a:custGeom>
                              <a:noFill/>
                              <a:ln w="38100" cap="flat" cmpd="sng" algn="ctr">
                                <a:solidFill>
                                  <a:srgbClr val="000000"/>
                                </a:solidFill>
                                <a:prstDash val="solid"/>
                                <a:miter lim="800000"/>
                                <a:headEnd type="none" w="med" len="med"/>
                                <a:tailEnd type="none" w="med" len="med"/>
                              </a:ln>
                              <a:effectLst>
                                <a:outerShdw blurRad="40000" dist="20000" dir="5400000" rotWithShape="0">
                                  <a:srgbClr val="808080">
                                    <a:alpha val="37999"/>
                                  </a:srgbClr>
                                </a:outerShdw>
                              </a:effectLst>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defRPr/>
                                  </a:pPr>
                                  <a:endParaRPr lang="en-US">
                                    <a:latin typeface="Arial" pitchFamily="-110" charset="0"/>
                                    <a:ea typeface="ＭＳ Ｐゴシック" pitchFamily="-110" charset="-128"/>
                                    <a:cs typeface="ＭＳ Ｐゴシック" pitchFamily="-110" charset="-128"/>
                                  </a:endParaRPr>
                                </a:p>
                              </a:txBody>
                              <a:useSpRect/>
                            </a:txSp>
                          </a:sp>
                          <a:cxnSp>
                            <a:nvCxnSpPr>
                              <a:cNvPr id="13" name="Straight Connector 12"/>
                              <a:cNvCxnSpPr>
                                <a:cxnSpLocks noChangeShapeType="1"/>
                              </a:cNvCxnSpPr>
                            </a:nvCxnSpPr>
                            <a:spPr bwMode="auto">
                              <a:xfrm>
                                <a:off x="1676400" y="2438400"/>
                                <a:ext cx="3276600" cy="1588"/>
                              </a:xfrm>
                              <a:prstGeom prst="line">
                                <a:avLst/>
                              </a:prstGeom>
                              <a:noFill/>
                              <a:ln w="6350">
                                <a:solidFill>
                                  <a:srgbClr val="008000"/>
                                </a:solidFill>
                                <a:round/>
                                <a:headEnd/>
                                <a:tailEnd/>
                              </a:ln>
                              <a:effectLst>
                                <a:outerShdw blurRad="40000" dist="20000" dir="5400000" rotWithShape="0">
                                  <a:srgbClr val="000000">
                                    <a:alpha val="37999"/>
                                  </a:srgbClr>
                                </a:outerShdw>
                              </a:effectLst>
                            </a:spPr>
                          </a:cxnSp>
                          <a:cxnSp>
                            <a:nvCxnSpPr>
                              <a:cNvPr id="15" name="Straight Connector 14"/>
                              <a:cNvCxnSpPr>
                                <a:cxnSpLocks noChangeShapeType="1"/>
                              </a:cNvCxnSpPr>
                            </a:nvCxnSpPr>
                            <a:spPr bwMode="auto">
                              <a:xfrm rot="5400000">
                                <a:off x="4648994" y="4418806"/>
                                <a:ext cx="2590800" cy="1588"/>
                              </a:xfrm>
                              <a:prstGeom prst="line">
                                <a:avLst/>
                              </a:prstGeom>
                              <a:noFill/>
                              <a:ln w="25400">
                                <a:solidFill>
                                  <a:srgbClr val="FFFF00"/>
                                </a:solidFill>
                                <a:round/>
                                <a:headEnd/>
                                <a:tailEnd/>
                              </a:ln>
                              <a:effectLst>
                                <a:outerShdw blurRad="40000" dist="20000" dir="5400000" rotWithShape="0">
                                  <a:srgbClr val="000000">
                                    <a:alpha val="37999"/>
                                  </a:srgbClr>
                                </a:outerShdw>
                              </a:effectLst>
                            </a:spPr>
                          </a:cxnSp>
                          <a:cxnSp>
                            <a:nvCxnSpPr>
                              <a:cNvPr id="18" name="Straight Connector 17"/>
                              <a:cNvCxnSpPr>
                                <a:cxnSpLocks noChangeShapeType="1"/>
                              </a:cNvCxnSpPr>
                            </a:nvCxnSpPr>
                            <a:spPr bwMode="auto">
                              <a:xfrm rot="5400000">
                                <a:off x="1335088" y="4076700"/>
                                <a:ext cx="3275012" cy="1588"/>
                              </a:xfrm>
                              <a:prstGeom prst="line">
                                <a:avLst/>
                              </a:prstGeom>
                              <a:noFill/>
                              <a:ln w="25400">
                                <a:solidFill>
                                  <a:schemeClr val="accent1"/>
                                </a:solidFill>
                                <a:prstDash val="sysDash"/>
                                <a:round/>
                                <a:headEnd/>
                                <a:tailEnd/>
                              </a:ln>
                              <a:effectLst>
                                <a:outerShdw blurRad="40000" dist="20000" dir="5400000" rotWithShape="0">
                                  <a:srgbClr val="000000">
                                    <a:alpha val="37999"/>
                                  </a:srgbClr>
                                </a:outerShdw>
                              </a:effectLst>
                            </a:spPr>
                          </a:cxnSp>
                          <a:cxnSp>
                            <a:nvCxnSpPr>
                              <a:cNvPr id="24" name="Straight Connector 23"/>
                              <a:cNvCxnSpPr>
                                <a:cxnSpLocks noChangeShapeType="1"/>
                              </a:cNvCxnSpPr>
                            </a:nvCxnSpPr>
                            <a:spPr bwMode="auto">
                              <a:xfrm rot="10800000">
                                <a:off x="1676400" y="5029200"/>
                                <a:ext cx="4267200" cy="1588"/>
                              </a:xfrm>
                              <a:prstGeom prst="line">
                                <a:avLst/>
                              </a:prstGeom>
                              <a:noFill/>
                              <a:ln w="25400">
                                <a:solidFill>
                                  <a:schemeClr val="accent1"/>
                                </a:solidFill>
                                <a:prstDash val="sysDash"/>
                                <a:round/>
                                <a:headEnd/>
                                <a:tailEnd/>
                              </a:ln>
                              <a:effectLst>
                                <a:outerShdw blurRad="40000" dist="20000" dir="5400000" rotWithShape="0">
                                  <a:srgbClr val="000000">
                                    <a:alpha val="37999"/>
                                  </a:srgbClr>
                                </a:outerShdw>
                              </a:effectLst>
                            </a:spPr>
                          </a:cxnSp>
                          <a:sp>
                            <a:nvSpPr>
                              <a:cNvPr id="25613" name="TextBox 27"/>
                              <a:cNvSpPr txBox="1">
                                <a:spLocks noChangeArrowheads="1"/>
                              </a:cNvSpPr>
                            </a:nvSpPr>
                            <a:spPr bwMode="auto">
                              <a:xfrm>
                                <a:off x="1752600" y="2057400"/>
                                <a:ext cx="2121093" cy="276999"/>
                              </a:xfrm>
                              <a:prstGeom prst="rect">
                                <a:avLst/>
                              </a:prstGeom>
                              <a:noFill/>
                              <a:ln w="9525">
                                <a:noFill/>
                                <a:miter lim="800000"/>
                                <a:headEnd/>
                                <a:tailEnd/>
                              </a:ln>
                            </a:spPr>
                            <a:txSp>
                              <a:txBody>
                                <a:bodyPr wrap="none">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200" dirty="0"/>
                                    <a:t>Animal Welfare all important</a:t>
                                  </a:r>
                                </a:p>
                              </a:txBody>
                              <a:useSpRect/>
                            </a:txSp>
                          </a:sp>
                          <a:sp>
                            <a:nvSpPr>
                              <a:cNvPr id="29" name="TextBox 28"/>
                              <a:cNvSpPr txBox="1"/>
                            </a:nvSpPr>
                            <a:spPr>
                              <a:xfrm>
                                <a:off x="6019800" y="3200400"/>
                                <a:ext cx="369332" cy="2415685"/>
                              </a:xfrm>
                              <a:prstGeom prst="rect">
                                <a:avLst/>
                              </a:prstGeom>
                              <a:noFill/>
                            </a:spPr>
                            <a:txSp>
                              <a:txBody>
                                <a:bodyPr vert="vert270" wrap="square">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defRPr/>
                                  </a:pPr>
                                  <a:r>
                                    <a:rPr lang="en-US" sz="1200" dirty="0">
                                      <a:latin typeface="Arial" pitchFamily="-110" charset="0"/>
                                      <a:ea typeface="+mn-ea"/>
                                      <a:cs typeface="+mn-cs"/>
                                    </a:rPr>
                                    <a:t>Animal Welfare unimportant</a:t>
                                  </a:r>
                                </a:p>
                              </a:txBody>
                              <a:useSpRect/>
                            </a:txSp>
                          </a:sp>
                          <a:sp>
                            <a:nvSpPr>
                              <a:cNvPr id="25615" name="TextBox 29"/>
                              <a:cNvSpPr txBox="1">
                                <a:spLocks noChangeArrowheads="1"/>
                              </a:cNvSpPr>
                            </a:nvSpPr>
                            <a:spPr bwMode="auto">
                              <a:xfrm>
                                <a:off x="2743200" y="5791200"/>
                                <a:ext cx="404813" cy="307975"/>
                              </a:xfrm>
                              <a:prstGeom prst="rect">
                                <a:avLst/>
                              </a:prstGeom>
                              <a:noFill/>
                              <a:ln w="9525">
                                <a:noFill/>
                                <a:miter lim="800000"/>
                                <a:headEnd/>
                                <a:tailEnd/>
                              </a:ln>
                            </a:spPr>
                            <a:txSp>
                              <a:txBody>
                                <a:bodyPr wrap="none">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400"/>
                                    <a:t>P1</a:t>
                                  </a:r>
                                </a:p>
                              </a:txBody>
                              <a:useSpRect/>
                            </a:txSp>
                          </a:sp>
                          <a:sp>
                            <a:nvSpPr>
                              <a:cNvPr id="25616" name="TextBox 30"/>
                              <a:cNvSpPr txBox="1">
                                <a:spLocks noChangeArrowheads="1"/>
                              </a:cNvSpPr>
                            </a:nvSpPr>
                            <a:spPr bwMode="auto">
                              <a:xfrm>
                                <a:off x="5791200" y="5791200"/>
                                <a:ext cx="457200" cy="307975"/>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400"/>
                                    <a:t>Pm</a:t>
                                  </a:r>
                                </a:p>
                              </a:txBody>
                              <a:useSpRect/>
                            </a:txSp>
                          </a:sp>
                          <a:sp>
                            <a:nvSpPr>
                              <a:cNvPr id="25617" name="TextBox 32"/>
                              <a:cNvSpPr txBox="1">
                                <a:spLocks noChangeArrowheads="1"/>
                              </a:cNvSpPr>
                            </a:nvSpPr>
                            <a:spPr bwMode="auto">
                              <a:xfrm>
                                <a:off x="914400" y="4876800"/>
                                <a:ext cx="762000" cy="307975"/>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400"/>
                                    <a:t>AWmin</a:t>
                                  </a:r>
                                </a:p>
                              </a:txBody>
                              <a:useSpRect/>
                            </a:txSp>
                          </a:sp>
                          <a:sp>
                            <a:nvSpPr>
                              <a:cNvPr id="25618" name="TextBox 33"/>
                              <a:cNvSpPr txBox="1">
                                <a:spLocks noChangeArrowheads="1"/>
                              </a:cNvSpPr>
                            </a:nvSpPr>
                            <a:spPr bwMode="auto">
                              <a:xfrm>
                                <a:off x="838200" y="2286000"/>
                                <a:ext cx="914400" cy="307975"/>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400"/>
                                    <a:t>AWmax</a:t>
                                  </a:r>
                                </a:p>
                              </a:txBody>
                              <a:useSpRect/>
                            </a:txSp>
                          </a:sp>
                          <a:cxnSp>
                            <a:nvCxnSpPr>
                              <a:cNvPr id="20" name="Straight Connector 19"/>
                              <a:cNvCxnSpPr>
                                <a:cxnSpLocks noChangeShapeType="1"/>
                              </a:cNvCxnSpPr>
                            </a:nvCxnSpPr>
                            <a:spPr bwMode="auto">
                              <a:xfrm rot="16200000" flipH="1">
                                <a:off x="4305300" y="2628900"/>
                                <a:ext cx="1676400" cy="1295400"/>
                              </a:xfrm>
                              <a:prstGeom prst="line">
                                <a:avLst/>
                              </a:prstGeom>
                              <a:noFill/>
                              <a:ln w="25400">
                                <a:solidFill>
                                  <a:srgbClr val="FF0000"/>
                                </a:solidFill>
                                <a:round/>
                                <a:headEnd/>
                                <a:tailEnd/>
                              </a:ln>
                              <a:effectLst>
                                <a:outerShdw blurRad="40000" dist="20000" dir="5400000" rotWithShape="0">
                                  <a:srgbClr val="000000">
                                    <a:alpha val="37999"/>
                                  </a:srgbClr>
                                </a:outerShdw>
                              </a:effectLst>
                            </a:spPr>
                          </a:cxnSp>
                          <a:sp>
                            <a:nvSpPr>
                              <a:cNvPr id="25620" name="TextBox 36"/>
                              <a:cNvSpPr txBox="1">
                                <a:spLocks noChangeArrowheads="1"/>
                              </a:cNvSpPr>
                            </a:nvSpPr>
                            <a:spPr bwMode="auto">
                              <a:xfrm>
                                <a:off x="5105400" y="2362200"/>
                                <a:ext cx="1752600" cy="738664"/>
                              </a:xfrm>
                              <a:prstGeom prst="rect">
                                <a:avLst/>
                              </a:prstGeom>
                              <a:noFill/>
                              <a:ln w="9525">
                                <a:noFill/>
                                <a:miter lim="800000"/>
                                <a:headEnd/>
                                <a:tailEnd/>
                              </a:ln>
                            </a:spPr>
                            <a:txSp>
                              <a:txBody>
                                <a:bodyPr>
                                  <a:prstTxWarp prst="textNoShape">
                                    <a:avLst/>
                                  </a:prstTxWarp>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400" dirty="0">
                                      <a:solidFill>
                                        <a:srgbClr val="FF0000"/>
                                      </a:solidFill>
                                    </a:rPr>
                                    <a:t>Social Choice for appropriate/desirable AW</a:t>
                                  </a:r>
                                </a:p>
                              </a:txBody>
                              <a:useSpRect/>
                            </a:txSp>
                          </a:sp>
                          <a:cxnSp>
                            <a:nvCxnSpPr>
                              <a:cNvPr id="39" name="Straight Arrow Connector 38"/>
                              <a:cNvCxnSpPr>
                                <a:cxnSpLocks noChangeShapeType="1"/>
                              </a:cNvCxnSpPr>
                            </a:nvCxnSpPr>
                            <a:spPr bwMode="auto">
                              <a:xfrm rot="5400000">
                                <a:off x="5256865" y="3048935"/>
                                <a:ext cx="383231" cy="381362"/>
                              </a:xfrm>
                              <a:prstGeom prst="straightConnector1">
                                <a:avLst/>
                              </a:prstGeom>
                              <a:noFill/>
                              <a:ln w="25400">
                                <a:solidFill>
                                  <a:srgbClr val="000000"/>
                                </a:solidFill>
                                <a:round/>
                                <a:headEnd/>
                                <a:tailEnd type="arrow" w="med" len="med"/>
                              </a:ln>
                              <a:effectLst>
                                <a:outerShdw blurRad="40000" dist="20000" dir="5400000" rotWithShape="0">
                                  <a:srgbClr val="000000">
                                    <a:alpha val="37999"/>
                                  </a:srgbClr>
                                </a:outerShdw>
                              </a:effectLst>
                            </a:spPr>
                          </a:cxnSp>
                        </a:grpSp>
                        <a:sp>
                          <a:nvSpPr>
                            <a:cNvPr id="23" name="TextBox 22"/>
                            <a:cNvSpPr txBox="1"/>
                          </a:nvSpPr>
                          <a:spPr>
                            <a:xfrm>
                              <a:off x="1676400" y="3048000"/>
                              <a:ext cx="1219200" cy="646331"/>
                            </a:xfrm>
                            <a:prstGeom prst="rect">
                              <a:avLst/>
                            </a:prstGeom>
                          </a:spPr>
                          <a:txSp>
                            <a:txBody>
                              <a:bodyPr wrap="square" rtlCol="0">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r>
                                  <a:rPr lang="en-US" sz="1200" dirty="0" smtClean="0"/>
                                  <a:t>Domestication improving welfare?</a:t>
                                </a:r>
                                <a:endParaRPr lang="en-US" sz="1200" dirty="0"/>
                              </a:p>
                            </a:txBody>
                            <a:useSpRect/>
                          </a:txSp>
                          <a:style>
                            <a:lnRef idx="1">
                              <a:schemeClr val="accent4"/>
                            </a:lnRef>
                            <a:fillRef idx="2">
                              <a:schemeClr val="accent4"/>
                            </a:fillRef>
                            <a:effectRef idx="1">
                              <a:schemeClr val="accent4"/>
                            </a:effectRef>
                            <a:fontRef idx="minor">
                              <a:schemeClr val="dk1"/>
                            </a:fontRef>
                          </a:style>
                        </a:sp>
                        <a:cxnSp>
                          <a:nvCxnSpPr>
                            <a:cNvPr id="26" name="Straight Arrow Connector 25"/>
                            <a:cNvCxnSpPr/>
                          </a:nvCxnSpPr>
                          <a:spPr>
                            <a:xfrm rot="10800000">
                              <a:off x="1828800" y="2895600"/>
                              <a:ext cx="228600" cy="152400"/>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28" name="Straight Arrow Connector 27"/>
                            <a:cNvCxnSpPr/>
                          </a:nvCxnSpPr>
                          <a:spPr>
                            <a:xfrm rot="5400000" flipH="1" flipV="1">
                              <a:off x="2172494" y="2780506"/>
                              <a:ext cx="5334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sp>
                          <a:nvSpPr>
                            <a:cNvPr id="34" name="TextBox 33"/>
                            <a:cNvSpPr txBox="1"/>
                          </a:nvSpPr>
                          <a:spPr>
                            <a:xfrm>
                              <a:off x="3429000" y="5029200"/>
                              <a:ext cx="1828800" cy="646331"/>
                            </a:xfrm>
                            <a:prstGeom prst="rect">
                              <a:avLst/>
                            </a:prstGeom>
                          </a:spPr>
                          <a:txSp>
                            <a:txBody>
                              <a:bodyPr wrap="square" rtlCol="0">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r>
                                  <a:rPr lang="en-US" sz="1200" dirty="0" smtClean="0"/>
                                  <a:t>Over-intensification reducing both productivity &amp; welfare?</a:t>
                                </a:r>
                                <a:endParaRPr lang="en-US" sz="1200" dirty="0"/>
                              </a:p>
                            </a:txBody>
                            <a:useSpRect/>
                          </a:txSp>
                          <a:style>
                            <a:lnRef idx="1">
                              <a:schemeClr val="accent4"/>
                            </a:lnRef>
                            <a:fillRef idx="2">
                              <a:schemeClr val="accent4"/>
                            </a:fillRef>
                            <a:effectRef idx="1">
                              <a:schemeClr val="accent4"/>
                            </a:effectRef>
                            <a:fontRef idx="minor">
                              <a:schemeClr val="dk1"/>
                            </a:fontRef>
                          </a:style>
                        </a:sp>
                        <a:cxnSp>
                          <a:nvCxnSpPr>
                            <a:cNvPr id="36" name="Straight Arrow Connector 35"/>
                            <a:cNvCxnSpPr/>
                          </a:nvCxnSpPr>
                          <a:spPr>
                            <a:xfrm>
                              <a:off x="5257800" y="5181600"/>
                              <a:ext cx="609600" cy="1588"/>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cxnSp>
                          <a:nvCxnSpPr>
                            <a:cNvPr id="38" name="Straight Arrow Connector 37"/>
                            <a:cNvCxnSpPr>
                              <a:stCxn id="34" idx="3"/>
                              <a:endCxn id="11" idx="4"/>
                            </a:cNvCxnSpPr>
                          </a:nvCxnSpPr>
                          <a:spPr>
                            <a:xfrm>
                              <a:off x="5257800" y="5352366"/>
                              <a:ext cx="295488" cy="370396"/>
                            </a:xfrm>
                            <a:prstGeom prst="straightConnector1">
                              <a:avLst/>
                            </a:prstGeom>
                            <a:ln>
                              <a:tailEnd type="arrow"/>
                            </a:ln>
                          </a:spPr>
                          <a:style>
                            <a:lnRef idx="2">
                              <a:schemeClr val="accent1"/>
                            </a:lnRef>
                            <a:fillRef idx="0">
                              <a:schemeClr val="accent1"/>
                            </a:fillRef>
                            <a:effectRef idx="1">
                              <a:schemeClr val="accent1"/>
                            </a:effectRef>
                            <a:fontRef idx="minor">
                              <a:schemeClr val="tx1"/>
                            </a:fontRef>
                          </a:style>
                        </a:cxnSp>
                      </a:grpSp>
                      <a:sp>
                        <a:nvSpPr>
                          <a:cNvPr id="42" name="TextBox 41"/>
                          <a:cNvSpPr txBox="1"/>
                        </a:nvSpPr>
                        <a:spPr>
                          <a:xfrm>
                            <a:off x="3810000" y="2514600"/>
                            <a:ext cx="304365" cy="276999"/>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200" dirty="0" smtClean="0"/>
                                <a:t>O</a:t>
                              </a:r>
                              <a:endParaRPr lang="en-US" sz="1200" dirty="0"/>
                            </a:p>
                          </a:txBody>
                          <a:useSpRect/>
                        </a:txSp>
                      </a:sp>
                      <a:sp>
                        <a:nvSpPr>
                          <a:cNvPr id="43" name="TextBox 42"/>
                          <a:cNvSpPr txBox="1"/>
                        </a:nvSpPr>
                        <a:spPr>
                          <a:xfrm>
                            <a:off x="4876800" y="3352800"/>
                            <a:ext cx="300082" cy="276999"/>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200" dirty="0" smtClean="0"/>
                                <a:t>A</a:t>
                              </a:r>
                              <a:endParaRPr lang="en-US" sz="1200" dirty="0"/>
                            </a:p>
                          </a:txBody>
                          <a:useSpRect/>
                        </a:txSp>
                      </a:sp>
                      <a:sp>
                        <a:nvSpPr>
                          <a:cNvPr id="44" name="TextBox 43"/>
                          <a:cNvSpPr txBox="1"/>
                        </a:nvSpPr>
                        <a:spPr>
                          <a:xfrm>
                            <a:off x="5105400" y="3276600"/>
                            <a:ext cx="325730" cy="523220"/>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2800" dirty="0"/>
                                <a:t>*</a:t>
                              </a:r>
                            </a:p>
                          </a:txBody>
                          <a:useSpRect/>
                        </a:txSp>
                      </a:sp>
                      <a:sp>
                        <a:nvSpPr>
                          <a:cNvPr id="46" name="TextBox 45"/>
                          <a:cNvSpPr txBox="1"/>
                        </a:nvSpPr>
                        <a:spPr>
                          <a:xfrm>
                            <a:off x="5715000" y="4572000"/>
                            <a:ext cx="325730" cy="523220"/>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2800" dirty="0"/>
                                <a:t>*</a:t>
                              </a:r>
                            </a:p>
                          </a:txBody>
                          <a:useSpRect/>
                        </a:txSp>
                      </a:sp>
                      <a:sp>
                        <a:nvSpPr>
                          <a:cNvPr id="47" name="TextBox 46"/>
                          <a:cNvSpPr txBox="1"/>
                        </a:nvSpPr>
                        <a:spPr>
                          <a:xfrm>
                            <a:off x="4572000" y="3886200"/>
                            <a:ext cx="304440" cy="461665"/>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2400" dirty="0"/>
                                <a:t>*</a:t>
                              </a:r>
                            </a:p>
                          </a:txBody>
                          <a:useSpRect/>
                        </a:txSp>
                      </a:sp>
                      <a:sp>
                        <a:nvSpPr>
                          <a:cNvPr id="48" name="TextBox 47"/>
                          <a:cNvSpPr txBox="1"/>
                        </a:nvSpPr>
                        <a:spPr>
                          <a:xfrm>
                            <a:off x="4343400" y="4038600"/>
                            <a:ext cx="287308" cy="276999"/>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200" dirty="0" smtClean="0"/>
                                <a:t>X</a:t>
                              </a:r>
                              <a:endParaRPr lang="en-US" sz="1200" dirty="0"/>
                            </a:p>
                          </a:txBody>
                          <a:useSpRect/>
                        </a:txSp>
                      </a:sp>
                      <a:cxnSp>
                        <a:nvCxnSpPr>
                          <a:cNvPr id="50" name="Straight Arrow Connector 49"/>
                          <a:cNvCxnSpPr/>
                        </a:nvCxnSpPr>
                        <a:spPr>
                          <a:xfrm>
                            <a:off x="4724400" y="4038600"/>
                            <a:ext cx="838200" cy="1588"/>
                          </a:xfrm>
                          <a:prstGeom prst="straightConnector1">
                            <a:avLst/>
                          </a:prstGeom>
                          <a:ln>
                            <a:solidFill>
                              <a:srgbClr val="000000"/>
                            </a:solidFill>
                            <a:prstDash val="sysDash"/>
                            <a:tailEnd type="arrow"/>
                          </a:ln>
                        </a:spPr>
                        <a:style>
                          <a:lnRef idx="2">
                            <a:schemeClr val="accent1"/>
                          </a:lnRef>
                          <a:fillRef idx="0">
                            <a:schemeClr val="accent1"/>
                          </a:fillRef>
                          <a:effectRef idx="1">
                            <a:schemeClr val="accent1"/>
                          </a:effectRef>
                          <a:fontRef idx="minor">
                            <a:schemeClr val="tx1"/>
                          </a:fontRef>
                        </a:style>
                      </a:cxnSp>
                      <a:cxnSp>
                        <a:nvCxnSpPr>
                          <a:cNvPr id="51" name="Straight Arrow Connector 50"/>
                          <a:cNvCxnSpPr>
                            <a:endCxn id="11" idx="2"/>
                          </a:cNvCxnSpPr>
                        </a:nvCxnSpPr>
                        <a:spPr>
                          <a:xfrm rot="16200000" flipV="1">
                            <a:off x="4173477" y="3411476"/>
                            <a:ext cx="1101068" cy="779"/>
                          </a:xfrm>
                          <a:prstGeom prst="straightConnector1">
                            <a:avLst/>
                          </a:prstGeom>
                          <a:ln>
                            <a:solidFill>
                              <a:srgbClr val="000000"/>
                            </a:solidFill>
                            <a:prstDash val="sysDash"/>
                            <a:tailEnd type="arrow"/>
                          </a:ln>
                        </a:spPr>
                        <a:style>
                          <a:lnRef idx="2">
                            <a:schemeClr val="accent1"/>
                          </a:lnRef>
                          <a:fillRef idx="0">
                            <a:schemeClr val="accent1"/>
                          </a:fillRef>
                          <a:effectRef idx="1">
                            <a:schemeClr val="accent1"/>
                          </a:effectRef>
                          <a:fontRef idx="minor">
                            <a:schemeClr val="tx1"/>
                          </a:fontRef>
                        </a:style>
                      </a:cxnSp>
                      <a:sp>
                        <a:nvSpPr>
                          <a:cNvPr id="59" name="TextBox 58"/>
                          <a:cNvSpPr txBox="1"/>
                        </a:nvSpPr>
                        <a:spPr>
                          <a:xfrm>
                            <a:off x="4495800" y="3048000"/>
                            <a:ext cx="372894" cy="276999"/>
                          </a:xfrm>
                          <a:prstGeom prst="rect">
                            <a:avLst/>
                          </a:prstGeom>
                        </a:spPr>
                        <a:txSp>
                          <a:txBody>
                            <a:bodyPr wrap="none" rtlCol="0">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r>
                                <a:rPr lang="en-US" sz="1200" dirty="0" smtClean="0"/>
                                <a:t>X1</a:t>
                              </a:r>
                              <a:endParaRPr lang="en-US" sz="1200" dirty="0"/>
                            </a:p>
                          </a:txBody>
                          <a:useSpRect/>
                        </a:txSp>
                        <a:style>
                          <a:lnRef idx="1">
                            <a:schemeClr val="accent3"/>
                          </a:lnRef>
                          <a:fillRef idx="2">
                            <a:schemeClr val="accent3"/>
                          </a:fillRef>
                          <a:effectRef idx="1">
                            <a:schemeClr val="accent3"/>
                          </a:effectRef>
                          <a:fontRef idx="minor">
                            <a:schemeClr val="dk1"/>
                          </a:fontRef>
                        </a:style>
                      </a:sp>
                      <a:sp>
                        <a:nvSpPr>
                          <a:cNvPr id="41" name="TextBox 40"/>
                          <a:cNvSpPr txBox="1"/>
                        </a:nvSpPr>
                        <a:spPr>
                          <a:xfrm>
                            <a:off x="5562600" y="4648201"/>
                            <a:ext cx="248799" cy="461665"/>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200" dirty="0"/>
                                <a:t>Y</a:t>
                              </a:r>
                            </a:p>
                          </a:txBody>
                          <a:useSpRect/>
                        </a:txSp>
                      </a:sp>
                    </a:grpSp>
                    <a:sp>
                      <a:nvSpPr>
                        <a:cNvPr id="61" name="TextBox 60"/>
                        <a:cNvSpPr txBox="1"/>
                      </a:nvSpPr>
                      <a:spPr>
                        <a:xfrm>
                          <a:off x="5029200" y="3886200"/>
                          <a:ext cx="381000" cy="276999"/>
                        </a:xfrm>
                        <a:prstGeom prst="rect">
                          <a:avLst/>
                        </a:prstGeom>
                      </a:spPr>
                      <a:txSp>
                        <a:txBody>
                          <a:bodyPr wrap="square" rtlCol="0">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457200" rtl="0" eaLnBrk="1" latinLnBrk="0" hangingPunct="1">
                              <a:defRPr kern="1200">
                                <a:solidFill>
                                  <a:schemeClr val="dk1"/>
                                </a:solidFill>
                                <a:latin typeface="+mn-lt"/>
                                <a:ea typeface="+mn-ea"/>
                                <a:cs typeface="+mn-cs"/>
                              </a:defRPr>
                            </a:lvl6pPr>
                            <a:lvl7pPr marL="2743200" algn="l" defTabSz="457200" rtl="0" eaLnBrk="1" latinLnBrk="0" hangingPunct="1">
                              <a:defRPr kern="1200">
                                <a:solidFill>
                                  <a:schemeClr val="dk1"/>
                                </a:solidFill>
                                <a:latin typeface="+mn-lt"/>
                                <a:ea typeface="+mn-ea"/>
                                <a:cs typeface="+mn-cs"/>
                              </a:defRPr>
                            </a:lvl7pPr>
                            <a:lvl8pPr marL="3200400" algn="l" defTabSz="457200" rtl="0" eaLnBrk="1" latinLnBrk="0" hangingPunct="1">
                              <a:defRPr kern="1200">
                                <a:solidFill>
                                  <a:schemeClr val="dk1"/>
                                </a:solidFill>
                                <a:latin typeface="+mn-lt"/>
                                <a:ea typeface="+mn-ea"/>
                                <a:cs typeface="+mn-cs"/>
                              </a:defRPr>
                            </a:lvl8pPr>
                            <a:lvl9pPr marL="3657600" algn="l" defTabSz="457200" rtl="0" eaLnBrk="1" latinLnBrk="0" hangingPunct="1">
                              <a:defRPr kern="1200">
                                <a:solidFill>
                                  <a:schemeClr val="dk1"/>
                                </a:solidFill>
                                <a:latin typeface="+mn-lt"/>
                                <a:ea typeface="+mn-ea"/>
                                <a:cs typeface="+mn-cs"/>
                              </a:defRPr>
                            </a:lvl9pPr>
                          </a:lstStyle>
                          <a:p>
                            <a:r>
                              <a:rPr lang="en-US" sz="1200" dirty="0" smtClean="0"/>
                              <a:t>X2</a:t>
                            </a:r>
                            <a:endParaRPr lang="en-US" sz="1200" dirty="0"/>
                          </a:p>
                        </a:txBody>
                        <a:useSpRect/>
                      </a:txSp>
                      <a:style>
                        <a:lnRef idx="1">
                          <a:schemeClr val="accent3"/>
                        </a:lnRef>
                        <a:fillRef idx="2">
                          <a:schemeClr val="accent3"/>
                        </a:fillRef>
                        <a:effectRef idx="1">
                          <a:schemeClr val="accent3"/>
                        </a:effectRef>
                        <a:fontRef idx="minor">
                          <a:schemeClr val="dk1"/>
                        </a:fontRef>
                      </a:style>
                    </a:sp>
                  </a:grpSp>
                </lc:lockedCanvas>
              </a:graphicData>
            </a:graphic>
          </wp:inline>
        </w:drawing>
      </w:r>
    </w:p>
    <w:p w:rsidR="00F67A06" w:rsidRPr="00B101A3" w:rsidRDefault="00B101A3" w:rsidP="00B101A3">
      <w:pPr>
        <w:rPr>
          <w:sz w:val="20"/>
        </w:rPr>
      </w:pPr>
      <w:r w:rsidRPr="005E3F72">
        <w:rPr>
          <w:i/>
          <w:sz w:val="20"/>
        </w:rPr>
        <w:t>NOTE</w:t>
      </w:r>
      <w:r>
        <w:rPr>
          <w:sz w:val="20"/>
        </w:rPr>
        <w:t>: for explanation of labels in this diagram, see text.</w:t>
      </w:r>
    </w:p>
    <w:p w:rsidR="00B101A3" w:rsidRDefault="00B101A3" w:rsidP="008B333A">
      <w:r w:rsidRPr="008B333A">
        <w:t xml:space="preserve">There </w:t>
      </w:r>
      <w:proofErr w:type="gramStart"/>
      <w:r>
        <w:t>is</w:t>
      </w:r>
      <w:proofErr w:type="gramEnd"/>
      <w:r w:rsidRPr="008B333A">
        <w:t xml:space="preserve"> a</w:t>
      </w:r>
      <w:r>
        <w:t xml:space="preserve"> wide</w:t>
      </w:r>
      <w:r w:rsidRPr="008B333A">
        <w:t xml:space="preserve"> variety of production systems within the</w:t>
      </w:r>
      <w:r>
        <w:t xml:space="preserve"> EU</w:t>
      </w:r>
      <w:r w:rsidRPr="008B333A">
        <w:t xml:space="preserve"> livestock sector</w:t>
      </w:r>
      <w:r>
        <w:t>.</w:t>
      </w:r>
      <w:r w:rsidRPr="008B333A">
        <w:t xml:space="preserve"> </w:t>
      </w:r>
      <w:r>
        <w:t>This variety</w:t>
      </w:r>
      <w:r w:rsidRPr="008B333A">
        <w:t xml:space="preserve"> </w:t>
      </w:r>
      <w:r>
        <w:t>can</w:t>
      </w:r>
      <w:r w:rsidRPr="008B333A">
        <w:t xml:space="preserve"> be distributed across a range of points </w:t>
      </w:r>
      <w:r>
        <w:t>on</w:t>
      </w:r>
      <w:r w:rsidRPr="008B333A">
        <w:t xml:space="preserve"> the frontier. Intensive systems will be closer to point </w:t>
      </w:r>
      <w:r>
        <w:t>Y</w:t>
      </w:r>
      <w:r w:rsidRPr="008B333A">
        <w:t>, extensive systems further up the curve and organic livestock production (</w:t>
      </w:r>
      <w:r>
        <w:t>including higher animal welfare standards</w:t>
      </w:r>
      <w:r w:rsidRPr="008B333A">
        <w:t xml:space="preserve">) perhaps approaching </w:t>
      </w:r>
      <w:r>
        <w:t>O</w:t>
      </w:r>
      <w:r w:rsidRPr="008B333A">
        <w:t xml:space="preserve">. Similarly, different types of livestock enterprise will be arrayed along the curve. </w:t>
      </w:r>
      <w:r>
        <w:t>B</w:t>
      </w:r>
      <w:r w:rsidRPr="008B333A">
        <w:t xml:space="preserve">roilers and caged egg production </w:t>
      </w:r>
      <w:r>
        <w:t>is</w:t>
      </w:r>
      <w:r w:rsidRPr="008B333A">
        <w:t xml:space="preserve"> considered as located at</w:t>
      </w:r>
      <w:r>
        <w:t>, and</w:t>
      </w:r>
      <w:r w:rsidR="00B65850">
        <w:t xml:space="preserve"> (for battery cages)</w:t>
      </w:r>
      <w:r>
        <w:t xml:space="preserve"> soon to be beyond,</w:t>
      </w:r>
      <w:r w:rsidRPr="008B333A">
        <w:t xml:space="preserve"> the legal limit of welfare acceptability, with modern high yielding dairy cow husbandry </w:t>
      </w:r>
      <w:r>
        <w:t xml:space="preserve">perhaps </w:t>
      </w:r>
      <w:r w:rsidRPr="008B333A">
        <w:t>only slightly higher up the curve. One might then consider that the production of housed beef,</w:t>
      </w:r>
      <w:r w:rsidR="00B65850" w:rsidRPr="00B65850">
        <w:t xml:space="preserve"> </w:t>
      </w:r>
      <w:r w:rsidR="00B65850" w:rsidRPr="008B333A">
        <w:t>outdoor pigs, free range poultry</w:t>
      </w:r>
      <w:r w:rsidR="00B65850">
        <w:t>,</w:t>
      </w:r>
      <w:r w:rsidRPr="008B333A">
        <w:t xml:space="preserve"> </w:t>
      </w:r>
      <w:proofErr w:type="spellStart"/>
      <w:r w:rsidRPr="008B333A">
        <w:t>suckler</w:t>
      </w:r>
      <w:proofErr w:type="spellEnd"/>
      <w:r w:rsidRPr="008B333A">
        <w:t xml:space="preserve"> beef and lowland sheep, and finally hill cattle and sheep are located at successively higher points on the frontier away from </w:t>
      </w:r>
      <w:r>
        <w:t>Y and towards O</w:t>
      </w:r>
      <w:r w:rsidRPr="008B333A">
        <w:t xml:space="preserve">. </w:t>
      </w:r>
    </w:p>
    <w:p w:rsidR="00216BCD" w:rsidRDefault="00752CC0" w:rsidP="008B333A">
      <w:r>
        <w:t xml:space="preserve">Alternatively, rather than considering the possibility frontier as representing the whole of animal agriculture throughout the EU (or the world), it might also be considered as representing the possibilities for any given species, </w:t>
      </w:r>
      <w:r w:rsidR="00CD4B4A">
        <w:t xml:space="preserve">country or </w:t>
      </w:r>
      <w:r>
        <w:t>region.</w:t>
      </w:r>
      <w:r w:rsidR="00216BCD">
        <w:t xml:space="preserve"> </w:t>
      </w:r>
      <w:r w:rsidR="005E3F72">
        <w:t>In any event, t</w:t>
      </w:r>
      <w:r w:rsidR="00440ABC">
        <w:t xml:space="preserve">he frontier </w:t>
      </w:r>
      <w:r w:rsidR="005E3F72">
        <w:t xml:space="preserve">is conceived as </w:t>
      </w:r>
      <w:r w:rsidR="000A269C">
        <w:t>represent</w:t>
      </w:r>
      <w:r w:rsidR="005E3F72">
        <w:t>ing</w:t>
      </w:r>
      <w:r w:rsidR="000A269C">
        <w:t xml:space="preserve"> the most effective use of resources possible, given current knowledge and availability of resources (land, labour, capital and management). Since these conditions are always changing, the ‘real world’ is always in the process of adapting and adjusting</w:t>
      </w:r>
      <w:r w:rsidR="00A17475">
        <w:t xml:space="preserve"> to changing conditions and circumstances</w:t>
      </w:r>
      <w:r w:rsidR="005A0209">
        <w:t>.</w:t>
      </w:r>
      <w:r w:rsidR="00CD4B4A">
        <w:t xml:space="preserve"> </w:t>
      </w:r>
      <w:r w:rsidR="005A0209">
        <w:t>As a result, the frontier</w:t>
      </w:r>
      <w:r w:rsidR="00CD4B4A">
        <w:t xml:space="preserve"> is typically considered to be moving outwards and to the right over time</w:t>
      </w:r>
      <w:r w:rsidR="008D3C52">
        <w:t xml:space="preserve"> – representing improvements in both productivity and welfare</w:t>
      </w:r>
      <w:r w:rsidR="00A17475">
        <w:t xml:space="preserve">. </w:t>
      </w:r>
      <w:r>
        <w:t xml:space="preserve">In addition, since these conditions differ between regions (especially the availability and hence costs of capital, land and labour), the particular frontier will be different </w:t>
      </w:r>
      <w:r w:rsidR="00216BCD">
        <w:t>for different regions and countries</w:t>
      </w:r>
      <w:r w:rsidR="008D3C52">
        <w:t>, especially when measured in economic terms</w:t>
      </w:r>
      <w:r w:rsidR="005E3F72">
        <w:t xml:space="preserve">, which is the only way in which different aspects of both welfare and productivity can be aggregated </w:t>
      </w:r>
      <w:r w:rsidR="007B1AD3">
        <w:t>into single indices, as implied by the two dimensional representation here.</w:t>
      </w:r>
    </w:p>
    <w:p w:rsidR="00A97476" w:rsidRDefault="00A17475" w:rsidP="008B333A">
      <w:r>
        <w:t>As farms change ownership, or generation, for instance, they frequently also change their production practices and mixes, as well as their investment in plant and equipment.</w:t>
      </w:r>
      <w:r w:rsidR="00575881">
        <w:t xml:space="preserve"> This process of adaptation and adjustment, including the incorporation of R&amp;D results and inno</w:t>
      </w:r>
      <w:r w:rsidR="005A79B2">
        <w:t>vations, both continually shift</w:t>
      </w:r>
      <w:r w:rsidR="00575881">
        <w:t xml:space="preserve"> the possibility frontier outwards (allowing both improved productivity and better a</w:t>
      </w:r>
      <w:r w:rsidR="005A79B2">
        <w:t>nimal welfare), and also result</w:t>
      </w:r>
      <w:r w:rsidR="00575881">
        <w:t xml:space="preserve"> in frequent observation of op</w:t>
      </w:r>
      <w:r w:rsidR="005A79B2">
        <w:t>erations (firms and businesses</w:t>
      </w:r>
      <w:proofErr w:type="gramStart"/>
      <w:r w:rsidR="005A79B2">
        <w:t xml:space="preserve">) </w:t>
      </w:r>
      <w:r w:rsidR="00575881">
        <w:t>which</w:t>
      </w:r>
      <w:proofErr w:type="gramEnd"/>
      <w:r w:rsidR="00575881">
        <w:t xml:space="preserve"> are not on the frontier but are inside it (at a point like X</w:t>
      </w:r>
      <w:r w:rsidR="00216BCD">
        <w:t xml:space="preserve"> in Figure 1</w:t>
      </w:r>
      <w:r w:rsidR="00575881">
        <w:t>).  With existing knowledge and techniques, these businesses could be both more productive and more animal friendly than they currently are.</w:t>
      </w:r>
      <w:r w:rsidR="00A97476">
        <w:t xml:space="preserve">  Not everyone is already doing as well as they could, for a variety of different reasons.</w:t>
      </w:r>
    </w:p>
    <w:p w:rsidR="006B1AB4" w:rsidRPr="00216BCD" w:rsidRDefault="006B1AB4" w:rsidP="008B333A">
      <w:r>
        <w:t>Market competition, as firms and businesses continually strive to prosper and succeed, tends to encourage businesses to become more efficient – to move closer to the frontier and, in so doing, to adopt, adapt and innovate so as to shift the frontier outwards.  Other things being equal, competitive markets tend to encourage firms towards the frontier – to be efficient.  Given a competitive and efficient sector (such as agriculture), with most firms</w:t>
      </w:r>
      <w:r w:rsidR="007B1AD3">
        <w:t xml:space="preserve"> will be</w:t>
      </w:r>
      <w:r>
        <w:t xml:space="preserve"> at or close to the current possibility frontier</w:t>
      </w:r>
      <w:r w:rsidR="007B1AD3">
        <w:t>.</w:t>
      </w:r>
      <w:r>
        <w:t xml:space="preserve"> </w:t>
      </w:r>
      <w:r w:rsidR="007B1AD3">
        <w:t>T</w:t>
      </w:r>
      <w:r>
        <w:t>he implication of this perspective is that</w:t>
      </w:r>
      <w:r w:rsidR="005A0209">
        <w:t xml:space="preserve">, </w:t>
      </w:r>
      <w:r w:rsidR="005A0209" w:rsidRPr="00927EBF">
        <w:rPr>
          <w:u w:val="single"/>
        </w:rPr>
        <w:t>for a competitive and efficient industry</w:t>
      </w:r>
      <w:r w:rsidR="005A0209">
        <w:t>,</w:t>
      </w:r>
      <w:r>
        <w:t xml:space="preserve"> </w:t>
      </w:r>
      <w:r w:rsidRPr="006B1AB4">
        <w:rPr>
          <w:i/>
        </w:rPr>
        <w:t>there</w:t>
      </w:r>
      <w:r>
        <w:rPr>
          <w:i/>
        </w:rPr>
        <w:t xml:space="preserve"> is always a trade-off between better animal welfare and productivity – improved animal welfare generally increases costs.</w:t>
      </w:r>
      <w:r w:rsidR="00216BCD">
        <w:t xml:space="preserve">  </w:t>
      </w:r>
      <w:r w:rsidR="00CD4B4A">
        <w:t xml:space="preserve">In competitive markets, neither indolence nor ignorance </w:t>
      </w:r>
      <w:proofErr w:type="gramStart"/>
      <w:r w:rsidR="00CD4B4A">
        <w:t>are</w:t>
      </w:r>
      <w:proofErr w:type="gramEnd"/>
      <w:r w:rsidR="00CD4B4A">
        <w:t xml:space="preserve"> rewarded, and competitive pressures encourage the adoption of best practices throughout the industry, though this process takes time</w:t>
      </w:r>
      <w:r w:rsidR="007B1AD3">
        <w:t xml:space="preserve"> and effort.</w:t>
      </w:r>
    </w:p>
    <w:p w:rsidR="0042574E" w:rsidRDefault="00CD4B4A" w:rsidP="008B333A">
      <w:r>
        <w:t xml:space="preserve">There are two major </w:t>
      </w:r>
      <w:r w:rsidR="00927EBF">
        <w:t>situations</w:t>
      </w:r>
      <w:r>
        <w:t xml:space="preserve"> </w:t>
      </w:r>
      <w:r w:rsidR="00927EBF">
        <w:t>when it</w:t>
      </w:r>
      <w:r w:rsidR="006B1AB4">
        <w:t xml:space="preserve"> is not true</w:t>
      </w:r>
      <w:r>
        <w:t xml:space="preserve"> that improvement of animal welfare necessarily reduces anima</w:t>
      </w:r>
      <w:r w:rsidR="0042574E">
        <w:t>l productivity and raises costs:</w:t>
      </w:r>
      <w:r>
        <w:t xml:space="preserve"> </w:t>
      </w:r>
      <w:r w:rsidR="006B1AB4">
        <w:t>a)</w:t>
      </w:r>
      <w:r w:rsidR="0042574E">
        <w:t xml:space="preserve"> the introduction of</w:t>
      </w:r>
      <w:r w:rsidR="006B1AB4">
        <w:t xml:space="preserve"> new techniques, technologies and practices, which </w:t>
      </w:r>
      <w:r w:rsidR="0042574E">
        <w:t>move</w:t>
      </w:r>
      <w:r w:rsidR="006B1AB4">
        <w:t xml:space="preserve"> the frontier outwards</w:t>
      </w:r>
      <w:r w:rsidR="0042574E">
        <w:t>, can improve both</w:t>
      </w:r>
      <w:r w:rsidR="006B1AB4">
        <w:t>; b) improving the performance of laggards and the less efficient in the sector</w:t>
      </w:r>
      <w:r w:rsidR="0042574E">
        <w:t xml:space="preserve"> can also result in improvements of both animal welfare and productivity</w:t>
      </w:r>
      <w:r w:rsidR="00927EBF">
        <w:t xml:space="preserve"> – as illustrated by the possibilities for firm/practice X in Figure 1</w:t>
      </w:r>
      <w:r w:rsidR="003F5C2B">
        <w:t xml:space="preserve">.  </w:t>
      </w:r>
      <w:r w:rsidR="0042574E">
        <w:t xml:space="preserve">Hence, both R&amp;D and training and extension activities in the chain can each improve both aspects of animal production and </w:t>
      </w:r>
      <w:r w:rsidR="008D3C52">
        <w:t>welfare</w:t>
      </w:r>
      <w:r w:rsidR="0042574E">
        <w:t xml:space="preserve">. </w:t>
      </w:r>
      <w:r w:rsidR="00752CC0">
        <w:t xml:space="preserve">However, while </w:t>
      </w:r>
      <w:r w:rsidR="0042574E">
        <w:t>training and extension</w:t>
      </w:r>
      <w:r w:rsidR="00752CC0">
        <w:t xml:space="preserve"> might seem obvious route</w:t>
      </w:r>
      <w:r w:rsidR="0042574E">
        <w:t>s</w:t>
      </w:r>
      <w:r w:rsidR="00752CC0">
        <w:t xml:space="preserve"> to </w:t>
      </w:r>
      <w:r w:rsidR="0042574E">
        <w:t xml:space="preserve">both </w:t>
      </w:r>
      <w:r w:rsidR="00752CC0">
        <w:t>animal welfare improvement</w:t>
      </w:r>
      <w:r w:rsidR="0042574E">
        <w:t xml:space="preserve"> and improved productivity</w:t>
      </w:r>
      <w:r w:rsidR="00927EBF">
        <w:t xml:space="preserve"> (and indeed have been highlighted in D3.2 and 3.3)</w:t>
      </w:r>
      <w:r w:rsidR="00752CC0">
        <w:t xml:space="preserve">, the reasons for apparently ‘laggard’ behaviours are complex and not easily changed (or even well understood). Management skills, in particular, are not easily reproduced or improved in the short term. </w:t>
      </w:r>
      <w:r w:rsidR="0042574E">
        <w:t>Those who appear to be in most need to training and extension are frequently those who are least likely to seek these services and recognise their value.</w:t>
      </w:r>
    </w:p>
    <w:p w:rsidR="00D37738" w:rsidRDefault="00752CC0" w:rsidP="008B333A">
      <w:r>
        <w:t>The people currently trying to make a living in the sector</w:t>
      </w:r>
      <w:r w:rsidR="00216BCD">
        <w:t xml:space="preserve"> are doing so by choice – if they could earn better livings and lead better lives doing something else, they would (and </w:t>
      </w:r>
      <w:r w:rsidR="007A0F45">
        <w:t xml:space="preserve">probably </w:t>
      </w:r>
      <w:r w:rsidR="00216BCD">
        <w:t xml:space="preserve">eventually will). </w:t>
      </w:r>
      <w:r w:rsidR="007B1AD3">
        <w:t>Even those (perhaps many) who farm as a way of life, rather than primarily to earn a living have to recognise that they cannot afford to continue farming indefinitely at a loss – they either need continued alternative income sources (in which case they are likely to be extremely competitive in the sense that they will not leave the business even if they continue to lose money), or they (or their successors) will change to become more profitable or leave the business. P</w:t>
      </w:r>
      <w:r w:rsidR="00216BCD">
        <w:t>eople are all different, and not equally good at doing what they do. They are doing what they do because they are (or consider that they are) better</w:t>
      </w:r>
      <w:r w:rsidR="007B1AD3">
        <w:t xml:space="preserve"> and/or happier</w:t>
      </w:r>
      <w:r w:rsidR="00216BCD">
        <w:t xml:space="preserve"> doing that (raising animals) than they are doing something else – </w:t>
      </w:r>
      <w:r w:rsidR="00216BCD" w:rsidRPr="00216BCD">
        <w:rPr>
          <w:u w:val="single"/>
        </w:rPr>
        <w:t>not</w:t>
      </w:r>
      <w:r w:rsidR="00216BCD">
        <w:t xml:space="preserve"> because they are better at raising animals than other people. The system is driven by </w:t>
      </w:r>
      <w:r w:rsidR="00216BCD">
        <w:rPr>
          <w:i/>
        </w:rPr>
        <w:t>comparative advantage</w:t>
      </w:r>
      <w:r w:rsidR="00216BCD">
        <w:t xml:space="preserve">, </w:t>
      </w:r>
      <w:r w:rsidR="00216BCD">
        <w:rPr>
          <w:u w:val="single"/>
        </w:rPr>
        <w:t>not</w:t>
      </w:r>
      <w:r w:rsidR="00216BCD">
        <w:t xml:space="preserve"> absolute advantage. Although some farmers are demonstrably poorer performers than others (in both dimensions of productivity and welfare), it cannot be concluded that an alternative world in which all farmers are equally good at what they do is</w:t>
      </w:r>
      <w:r w:rsidR="00927EBF">
        <w:t xml:space="preserve"> even</w:t>
      </w:r>
      <w:r w:rsidR="00216BCD">
        <w:t xml:space="preserve"> feasible, let alone practical.  </w:t>
      </w:r>
      <w:r w:rsidR="004A6E44">
        <w:t xml:space="preserve">Nevertheless, the implication of this conceptual analysis is that improvements in efficiency as farmers become better at what they do can well be associated with simultaneous improvements in animal welfare. </w:t>
      </w:r>
    </w:p>
    <w:p w:rsidR="00247FE5" w:rsidRDefault="0042574E" w:rsidP="008B333A">
      <w:r>
        <w:t>Attempts to implement the</w:t>
      </w:r>
      <w:r w:rsidR="00216BCD">
        <w:t xml:space="preserve"> frontier</w:t>
      </w:r>
      <w:r>
        <w:t xml:space="preserve"> concept as an empirical tool</w:t>
      </w:r>
      <w:r w:rsidR="00216BCD">
        <w:t xml:space="preserve"> necessa</w:t>
      </w:r>
      <w:r>
        <w:t>rily have to take</w:t>
      </w:r>
      <w:r w:rsidR="00216BCD">
        <w:t xml:space="preserve"> the variation and heterogeneity </w:t>
      </w:r>
      <w:r w:rsidR="001916C1">
        <w:t>of the factors of production (land, labour, capital and management) into account.</w:t>
      </w:r>
      <w:r>
        <w:t xml:space="preserve"> In other contexts</w:t>
      </w:r>
      <w:r w:rsidR="007B1AD3">
        <w:t>,</w:t>
      </w:r>
      <w:r>
        <w:t xml:space="preserve"> </w:t>
      </w:r>
      <w:proofErr w:type="gramStart"/>
      <w:r>
        <w:t>this is usually done by recognising</w:t>
      </w:r>
      <w:proofErr w:type="gramEnd"/>
      <w:r>
        <w:t xml:space="preserve"> that empirical observations will include the less efficient as well as the most efficient, and estimate what amounts to a</w:t>
      </w:r>
      <w:r w:rsidR="00927EBF">
        <w:t>n</w:t>
      </w:r>
      <w:r>
        <w:t xml:space="preserve"> envelope curve made up of only the most efficient operations. Such estimation then identifies the extent to which the whole population is or is not efficient.  However, the statistical reliability of such estimates of agricultural efficiency are usually sufficiently large that most of modern agriculture can be considered as </w:t>
      </w:r>
      <w:r w:rsidR="00364227">
        <w:t>being efficient – especially when proper account is taken of the constraints of heterogeneous resources.</w:t>
      </w:r>
      <w:r w:rsidR="005A0209">
        <w:t xml:space="preserve"> </w:t>
      </w:r>
      <w:r w:rsidR="007B1AD3">
        <w:t>However, i</w:t>
      </w:r>
      <w:r w:rsidR="00D37738">
        <w:t>mplementation of the frontier concept as an empirical tool to investigate animal welfare is presently frustrated by the lack of a commonly accepted single measure of animal welfare</w:t>
      </w:r>
      <w:r w:rsidR="007A0F45">
        <w:t>, as well as by the lack of data relating to both animal welfare and productivity</w:t>
      </w:r>
      <w:r w:rsidR="00810793">
        <w:t>.</w:t>
      </w:r>
      <w:r w:rsidR="006E45E8">
        <w:t xml:space="preserve"> </w:t>
      </w:r>
    </w:p>
    <w:p w:rsidR="00CA0AEE" w:rsidRDefault="00247FE5" w:rsidP="008B333A">
      <w:r>
        <w:t>Nevertheless, e</w:t>
      </w:r>
      <w:r w:rsidR="00216BCD">
        <w:t xml:space="preserve">fficient production (and processing and distribution), encouraged by the market system, will drive </w:t>
      </w:r>
      <w:r w:rsidR="001916C1">
        <w:t>businesses to operate somew</w:t>
      </w:r>
      <w:r w:rsidR="00216BCD">
        <w:t xml:space="preserve">here on the segment of the frontier between AWmax/P1 and </w:t>
      </w:r>
      <w:proofErr w:type="spellStart"/>
      <w:r w:rsidR="00216BCD">
        <w:t>AWmin</w:t>
      </w:r>
      <w:proofErr w:type="spellEnd"/>
      <w:r w:rsidR="00216BCD">
        <w:t>/Pm</w:t>
      </w:r>
      <w:r w:rsidR="00FA3DBF">
        <w:t xml:space="preserve"> – implying that in general improving animal welfare involves some reduction in animal productivity, given current technologies and capacities. This general prescription is reflected in the results of the costing exercise for specific farm standards as reported in D4.1.</w:t>
      </w:r>
    </w:p>
    <w:p w:rsidR="00701E67" w:rsidRDefault="00701E67" w:rsidP="00701E67">
      <w:pPr>
        <w:pStyle w:val="TOCHeading"/>
        <w:jc w:val="both"/>
        <w:rPr>
          <w:b w:val="0"/>
        </w:rPr>
      </w:pPr>
      <w:r>
        <w:rPr>
          <w:b w:val="0"/>
        </w:rPr>
        <w:t>The clear implications of this ‘supply side’ analysis of the options for improving animal welfare are two-fold:</w:t>
      </w:r>
    </w:p>
    <w:p w:rsidR="00701E67" w:rsidRPr="004A6E44" w:rsidRDefault="00701E67" w:rsidP="00EC5B01">
      <w:pPr>
        <w:pStyle w:val="ListParagraph"/>
        <w:numPr>
          <w:ilvl w:val="0"/>
          <w:numId w:val="10"/>
        </w:numPr>
        <w:spacing w:after="0" w:line="240" w:lineRule="auto"/>
        <w:jc w:val="both"/>
        <w:rPr>
          <w:rFonts w:ascii="Arial" w:hAnsi="Arial"/>
          <w:i/>
        </w:rPr>
      </w:pPr>
      <w:r w:rsidRPr="004A6E44">
        <w:rPr>
          <w:rFonts w:ascii="Arial" w:hAnsi="Arial"/>
          <w:i/>
        </w:rPr>
        <w:t>Public (government) support and assistance should be directed towards helping the farmers and the supply chain to be as effective and efficient as possible – through sponsoring R&amp;D</w:t>
      </w:r>
      <w:r w:rsidR="00355430" w:rsidRPr="004A6E44">
        <w:rPr>
          <w:rFonts w:ascii="Arial" w:hAnsi="Arial"/>
          <w:i/>
        </w:rPr>
        <w:t xml:space="preserve"> (both on the conditions improving animal welfare</w:t>
      </w:r>
      <w:r w:rsidR="00355430" w:rsidRPr="004A6E44">
        <w:rPr>
          <w:rStyle w:val="FootnoteReference"/>
          <w:rFonts w:ascii="Arial" w:hAnsi="Arial"/>
          <w:i/>
        </w:rPr>
        <w:footnoteReference w:id="1"/>
      </w:r>
      <w:r w:rsidR="00355430" w:rsidRPr="004A6E44">
        <w:rPr>
          <w:rFonts w:ascii="Arial" w:hAnsi="Arial"/>
          <w:i/>
        </w:rPr>
        <w:t xml:space="preserve"> and on the practices which enable these conditions to be met); providing information, expertise</w:t>
      </w:r>
      <w:r w:rsidRPr="004A6E44">
        <w:rPr>
          <w:rFonts w:ascii="Arial" w:hAnsi="Arial"/>
          <w:i/>
        </w:rPr>
        <w:t xml:space="preserve"> </w:t>
      </w:r>
      <w:r w:rsidR="00355430" w:rsidRPr="004A6E44">
        <w:rPr>
          <w:rFonts w:ascii="Arial" w:hAnsi="Arial"/>
          <w:i/>
        </w:rPr>
        <w:t>and training for the chain participants, including farmers on best practice. All of these initiatives should, however, recognise that the processes of economic competition are also necessary to drive the system towards the best possible practice.</w:t>
      </w:r>
      <w:r w:rsidR="0098337E" w:rsidRPr="004A6E44">
        <w:rPr>
          <w:rFonts w:ascii="Arial" w:hAnsi="Arial"/>
          <w:i/>
        </w:rPr>
        <w:t xml:space="preserve"> Furthermore, there is no simple analysis </w:t>
      </w:r>
      <w:r w:rsidR="00EC5B01" w:rsidRPr="004A6E44">
        <w:rPr>
          <w:rFonts w:ascii="Arial" w:hAnsi="Arial"/>
          <w:i/>
        </w:rPr>
        <w:t>to</w:t>
      </w:r>
      <w:r w:rsidR="0098337E" w:rsidRPr="004A6E44">
        <w:rPr>
          <w:rFonts w:ascii="Arial" w:hAnsi="Arial"/>
          <w:i/>
        </w:rPr>
        <w:t xml:space="preserve"> determine where the priorities should be amongst this list – these will depend on the specific conditions and circumstances in the relevant chains</w:t>
      </w:r>
      <w:r w:rsidR="007A0F45">
        <w:rPr>
          <w:rFonts w:ascii="Arial" w:hAnsi="Arial"/>
          <w:i/>
        </w:rPr>
        <w:t xml:space="preserve"> and their participants</w:t>
      </w:r>
      <w:r w:rsidR="0098337E" w:rsidRPr="004A6E44">
        <w:rPr>
          <w:rFonts w:ascii="Arial" w:hAnsi="Arial"/>
          <w:i/>
        </w:rPr>
        <w:t>.</w:t>
      </w:r>
    </w:p>
    <w:p w:rsidR="00701E67" w:rsidRPr="004A6E44" w:rsidRDefault="00EC5B01" w:rsidP="00EC5B01">
      <w:pPr>
        <w:pStyle w:val="ListParagraph"/>
        <w:numPr>
          <w:ilvl w:val="0"/>
          <w:numId w:val="10"/>
        </w:numPr>
        <w:spacing w:after="0" w:line="240" w:lineRule="auto"/>
        <w:jc w:val="both"/>
        <w:rPr>
          <w:rFonts w:ascii="Arial" w:hAnsi="Arial"/>
          <w:i/>
        </w:rPr>
      </w:pPr>
      <w:r w:rsidRPr="004A6E44">
        <w:rPr>
          <w:rFonts w:ascii="Arial" w:hAnsi="Arial"/>
          <w:i/>
        </w:rPr>
        <w:t>Over and above</w:t>
      </w:r>
      <w:r w:rsidR="00B77EAE" w:rsidRPr="004A6E44">
        <w:rPr>
          <w:rFonts w:ascii="Arial" w:hAnsi="Arial"/>
          <w:i/>
        </w:rPr>
        <w:t xml:space="preserve"> encourage</w:t>
      </w:r>
      <w:r w:rsidRPr="004A6E44">
        <w:rPr>
          <w:rFonts w:ascii="Arial" w:hAnsi="Arial"/>
          <w:i/>
        </w:rPr>
        <w:t>ment</w:t>
      </w:r>
      <w:r w:rsidR="00B77EAE" w:rsidRPr="004A6E44">
        <w:rPr>
          <w:rFonts w:ascii="Arial" w:hAnsi="Arial"/>
          <w:i/>
        </w:rPr>
        <w:t xml:space="preserve"> and assist</w:t>
      </w:r>
      <w:r w:rsidRPr="004A6E44">
        <w:rPr>
          <w:rFonts w:ascii="Arial" w:hAnsi="Arial"/>
          <w:i/>
        </w:rPr>
        <w:t>ance to</w:t>
      </w:r>
      <w:r w:rsidR="00B77EAE" w:rsidRPr="004A6E44">
        <w:rPr>
          <w:rFonts w:ascii="Arial" w:hAnsi="Arial"/>
          <w:i/>
        </w:rPr>
        <w:t xml:space="preserve"> the sector (farmers and chain) </w:t>
      </w:r>
      <w:r w:rsidRPr="004A6E44">
        <w:rPr>
          <w:rFonts w:ascii="Arial" w:hAnsi="Arial"/>
          <w:i/>
        </w:rPr>
        <w:t>so that it is able to operate</w:t>
      </w:r>
      <w:r w:rsidR="00B77EAE" w:rsidRPr="004A6E44">
        <w:rPr>
          <w:rFonts w:ascii="Arial" w:hAnsi="Arial"/>
          <w:i/>
        </w:rPr>
        <w:t xml:space="preserve"> with best possible practices (i.e. on the frontier), it is then a matter of social (public) choice about where to be on the frontier – what trade-offs </w:t>
      </w:r>
      <w:r w:rsidRPr="004A6E44">
        <w:rPr>
          <w:rFonts w:ascii="Arial" w:hAnsi="Arial"/>
          <w:i/>
        </w:rPr>
        <w:t>should be made</w:t>
      </w:r>
      <w:r w:rsidR="00B77EAE" w:rsidRPr="004A6E44">
        <w:rPr>
          <w:rFonts w:ascii="Arial" w:hAnsi="Arial"/>
          <w:i/>
        </w:rPr>
        <w:t xml:space="preserve"> between animal productivity and animal welfare</w:t>
      </w:r>
      <w:r w:rsidRPr="004A6E44">
        <w:rPr>
          <w:rFonts w:ascii="Arial" w:hAnsi="Arial"/>
          <w:i/>
        </w:rPr>
        <w:t>, and thus what incentives and/or controls to provide for the sector to encourage and persuade it to respond appropriately to civic and customer requirements and demands.</w:t>
      </w:r>
    </w:p>
    <w:p w:rsidR="00701E67" w:rsidRDefault="00701E67" w:rsidP="00CA0AEE">
      <w:pPr>
        <w:pStyle w:val="TOCHeading"/>
        <w:rPr>
          <w:i/>
        </w:rPr>
      </w:pPr>
    </w:p>
    <w:p w:rsidR="006B1AB4" w:rsidRDefault="00CA0AEE" w:rsidP="00CA0AEE">
      <w:pPr>
        <w:pStyle w:val="TOCHeading"/>
      </w:pPr>
      <w:r w:rsidRPr="005A0209">
        <w:rPr>
          <w:i/>
        </w:rPr>
        <w:t>Social Choice</w:t>
      </w:r>
    </w:p>
    <w:p w:rsidR="008B5735" w:rsidRDefault="00A37A09" w:rsidP="008B333A">
      <w:r>
        <w:t xml:space="preserve">Society signals its preferences for the appropriate mixture of animal welfare and livestock productivity in two major ways. </w:t>
      </w:r>
      <w:r w:rsidR="00192EC8">
        <w:t>First, s</w:t>
      </w:r>
      <w:r w:rsidR="00C24DE4">
        <w:t>ocial concerns for animal welfare are reflected in the country’s laws</w:t>
      </w:r>
      <w:r w:rsidR="008B5735">
        <w:t xml:space="preserve"> and regulations</w:t>
      </w:r>
      <w:r w:rsidR="00C24DE4">
        <w:t xml:space="preserve"> about minimum levels of animal welfare, setting the minimum level required (although not necessarily always enforced) at (say) </w:t>
      </w:r>
      <w:proofErr w:type="spellStart"/>
      <w:r w:rsidR="00C24DE4">
        <w:t>AWmin</w:t>
      </w:r>
      <w:proofErr w:type="spellEnd"/>
      <w:r w:rsidR="00C24DE4">
        <w:t xml:space="preserve">.  </w:t>
      </w:r>
      <w:r w:rsidR="006E45E8">
        <w:t xml:space="preserve">Introducing </w:t>
      </w:r>
      <w:r w:rsidR="00C24DE4">
        <w:t xml:space="preserve">and enforcing </w:t>
      </w:r>
      <w:r w:rsidR="00E528D2">
        <w:t xml:space="preserve">a new </w:t>
      </w:r>
      <w:proofErr w:type="gramStart"/>
      <w:r w:rsidR="00E528D2">
        <w:t>higher level</w:t>
      </w:r>
      <w:proofErr w:type="gramEnd"/>
      <w:r w:rsidR="00E528D2">
        <w:t xml:space="preserve"> standard</w:t>
      </w:r>
      <w:r w:rsidR="00C24DE4">
        <w:t xml:space="preserve"> will necessarily imply reduced </w:t>
      </w:r>
      <w:r w:rsidR="00CB3910">
        <w:t xml:space="preserve">economic </w:t>
      </w:r>
      <w:r w:rsidR="00C24DE4">
        <w:t xml:space="preserve">productivity according to the frontier perspective, </w:t>
      </w:r>
      <w:r w:rsidR="006E45E8">
        <w:t>with</w:t>
      </w:r>
      <w:r w:rsidR="00C24DE4">
        <w:t xml:space="preserve"> higher costs of production.</w:t>
      </w:r>
      <w:r w:rsidR="007A0F45">
        <w:rPr>
          <w:rStyle w:val="FootnoteReference"/>
        </w:rPr>
        <w:footnoteReference w:id="2"/>
      </w:r>
      <w:r w:rsidR="00C24DE4">
        <w:t xml:space="preserve"> </w:t>
      </w:r>
    </w:p>
    <w:p w:rsidR="00192EC8" w:rsidRDefault="008B5735" w:rsidP="008B333A">
      <w:r>
        <w:t>I</w:t>
      </w:r>
      <w:r w:rsidR="00C24DE4">
        <w:t>ncreased enforced standards will, however, encourage adaptation and innovations to improve productivity given this</w:t>
      </w:r>
      <w:r w:rsidR="00EF507F">
        <w:t xml:space="preserve"> new</w:t>
      </w:r>
      <w:r w:rsidR="00C24DE4">
        <w:t xml:space="preserve"> </w:t>
      </w:r>
      <w:r w:rsidR="00EF507F">
        <w:t xml:space="preserve">minimum standard, so that over time </w:t>
      </w:r>
      <w:r w:rsidR="00EF507F" w:rsidRPr="007A0F45">
        <w:rPr>
          <w:u w:val="single"/>
        </w:rPr>
        <w:t>and other things being equal</w:t>
      </w:r>
      <w:r w:rsidR="00EF507F">
        <w:t xml:space="preserve">, </w:t>
      </w:r>
      <w:r w:rsidR="00192EC8">
        <w:t xml:space="preserve">the system will tend towards </w:t>
      </w:r>
      <w:r w:rsidR="00C66ABA">
        <w:t>Pm/</w:t>
      </w:r>
      <w:proofErr w:type="spellStart"/>
      <w:r w:rsidR="00C66ABA">
        <w:t>AWmin</w:t>
      </w:r>
      <w:proofErr w:type="spellEnd"/>
      <w:r w:rsidR="00192EC8">
        <w:t xml:space="preserve"> in Figure 1</w:t>
      </w:r>
      <w:r w:rsidR="00C66ABA">
        <w:t xml:space="preserve">, where </w:t>
      </w:r>
      <w:proofErr w:type="spellStart"/>
      <w:r w:rsidR="00C66ABA">
        <w:t>AWmin</w:t>
      </w:r>
      <w:proofErr w:type="spellEnd"/>
      <w:r w:rsidR="00C66ABA">
        <w:t xml:space="preserve"> represents the legal minimum standard</w:t>
      </w:r>
      <w:r w:rsidR="00192EC8">
        <w:t>.</w:t>
      </w:r>
      <w:r w:rsidR="00FA5CC0">
        <w:t xml:space="preserve"> Given the legislation, adaptations and innovations will generally respect the minimum level of animal welfare</w:t>
      </w:r>
      <w:r w:rsidR="00526A9D">
        <w:t xml:space="preserve"> standards</w:t>
      </w:r>
      <w:r w:rsidR="00FA5CC0">
        <w:t xml:space="preserve"> which society is prepared to tolerate. As a consequence, the frontier of welfare/productivity combinations will tend to adjust to this minimum standard</w:t>
      </w:r>
      <w:r>
        <w:t xml:space="preserve">, so long as consumer demand confirms that society is prepared to enforce the minimum standard and, as a result, pay any necessary premiums to enable </w:t>
      </w:r>
      <w:r w:rsidR="000C002D">
        <w:t>the</w:t>
      </w:r>
      <w:r>
        <w:t xml:space="preserve"> chain to comply effectively.  If not, then the sector will contract until the remaining firms and businesses can afford to comply and stay in business</w:t>
      </w:r>
      <w:r w:rsidR="004A6E44">
        <w:t xml:space="preserve"> – the frontier will shrink to meet the effective market at the enforced minimum standard.</w:t>
      </w:r>
    </w:p>
    <w:p w:rsidR="00810793" w:rsidRDefault="00192EC8" w:rsidP="008B333A">
      <w:r>
        <w:t>Second, society signals its preferences through its willingness to pay</w:t>
      </w:r>
      <w:r w:rsidR="00FA5CC0">
        <w:t xml:space="preserve"> (WTP)</w:t>
      </w:r>
      <w:r>
        <w:t xml:space="preserve"> for more animal friendly products. As societies become richer, better educated and more able and willing to take care of their environments and activities, so they tend to be more willing to pay for improved animal welfare (as evidenced in D3.2).</w:t>
      </w:r>
      <w:r w:rsidR="00F62137">
        <w:t xml:space="preserve"> In the terms of Figure 1, the signals are transmitted as the ‘price’ of animal welfare relative to the price of animal products</w:t>
      </w:r>
      <w:r w:rsidR="00810793">
        <w:t xml:space="preserve"> (</w:t>
      </w:r>
      <w:r w:rsidR="00FA5CC0">
        <w:t xml:space="preserve">i.e. </w:t>
      </w:r>
      <w:r w:rsidR="00810793">
        <w:t>the premium paid for more animal friendly products)</w:t>
      </w:r>
      <w:r w:rsidR="00F62137">
        <w:t xml:space="preserve"> – the slope of the yellow, red and green lines on Figure 1.</w:t>
      </w:r>
      <w:r w:rsidR="00540272">
        <w:t xml:space="preserve">  The rising share of free-range eggs (and chicken) at the expense of cage eggs is an obvious and outstanding example.  In societie</w:t>
      </w:r>
      <w:r w:rsidR="00FA5CC0">
        <w:t>s where animal welfare is of no</w:t>
      </w:r>
      <w:r w:rsidR="00540272">
        <w:t xml:space="preserve"> importance at all, animal production systems tend to be driven towards maximum productivity and minimum animal welfare (for any given species and for the sector as a whole)</w:t>
      </w:r>
      <w:r w:rsidR="003E0F30">
        <w:t xml:space="preserve"> – characterised by Napolitano </w:t>
      </w:r>
      <w:r w:rsidR="003E0F30">
        <w:rPr>
          <w:i/>
        </w:rPr>
        <w:t>et al.</w:t>
      </w:r>
      <w:r w:rsidR="003E0F30">
        <w:t xml:space="preserve"> (2010), as the </w:t>
      </w:r>
      <w:r w:rsidR="003E0F30" w:rsidRPr="004A6E44">
        <w:rPr>
          <w:i/>
        </w:rPr>
        <w:t>vicious circle of animal welfare degradation</w:t>
      </w:r>
      <w:r w:rsidR="00540272">
        <w:t>. At the other ext</w:t>
      </w:r>
      <w:r w:rsidR="00FA5CC0">
        <w:t>reme, a society which considers</w:t>
      </w:r>
      <w:r w:rsidR="00540272">
        <w:t xml:space="preserve"> animal welfare to be </w:t>
      </w:r>
      <w:r w:rsidR="000C4763">
        <w:t>all-</w:t>
      </w:r>
      <w:r w:rsidR="00540272">
        <w:t>important would tend to drive its production system towards the maximum level of animal welfare (and consequently a relative minimum level of animal productivity – with associated higher relative prices for animal products)</w:t>
      </w:r>
      <w:r w:rsidR="00C70FE9">
        <w:t>, described (</w:t>
      </w:r>
      <w:r w:rsidR="00C70FE9">
        <w:rPr>
          <w:i/>
        </w:rPr>
        <w:t>ibid)</w:t>
      </w:r>
      <w:r w:rsidR="00C70FE9">
        <w:t xml:space="preserve"> as </w:t>
      </w:r>
      <w:r w:rsidR="00C70FE9" w:rsidRPr="004A6E44">
        <w:rPr>
          <w:i/>
        </w:rPr>
        <w:t>the virtuous circle (or cycle) of animal welfare</w:t>
      </w:r>
      <w:r w:rsidR="00C70FE9">
        <w:t>, and also by the ‘Road of Development of AW’ outlined in D3.4</w:t>
      </w:r>
      <w:r w:rsidR="00540272">
        <w:t>.</w:t>
      </w:r>
      <w:r w:rsidR="00B724A2">
        <w:t xml:space="preserve"> </w:t>
      </w:r>
    </w:p>
    <w:p w:rsidR="00FA5CC0" w:rsidRDefault="00955A33" w:rsidP="008B333A">
      <w:r>
        <w:t xml:space="preserve">If </w:t>
      </w:r>
      <w:r w:rsidR="00CA0AEE">
        <w:t xml:space="preserve">governments decide to try and impose higher minimum standards than its society is willing to pay for – pushing </w:t>
      </w:r>
      <w:proofErr w:type="spellStart"/>
      <w:r w:rsidR="00CA0AEE">
        <w:t>AWmin</w:t>
      </w:r>
      <w:proofErr w:type="spellEnd"/>
      <w:r w:rsidR="00CA0AEE">
        <w:t xml:space="preserve"> higher up the frontier than the (implicit) socially preferred point (A), then </w:t>
      </w:r>
      <w:r w:rsidR="00F07DCD">
        <w:t xml:space="preserve">some </w:t>
      </w:r>
      <w:r w:rsidR="00CA0AEE">
        <w:t xml:space="preserve">consumers </w:t>
      </w:r>
      <w:r w:rsidR="00F07DCD">
        <w:t>may</w:t>
      </w:r>
      <w:r w:rsidR="00CA0AEE">
        <w:t xml:space="preserve"> respond by seeking to source </w:t>
      </w:r>
      <w:r w:rsidR="00F07DCD">
        <w:t>their animal products at lower cost elsewhere</w:t>
      </w:r>
      <w:r w:rsidR="00FA5CC0">
        <w:t>, or simply reducing their consumption</w:t>
      </w:r>
      <w:r w:rsidR="00CA0AEE">
        <w:t xml:space="preserve">. </w:t>
      </w:r>
      <w:r>
        <w:t xml:space="preserve">The end result </w:t>
      </w:r>
      <w:r w:rsidR="00F07DCD">
        <w:t>may</w:t>
      </w:r>
      <w:r>
        <w:t xml:space="preserve"> be that the attempt to impose higher standards </w:t>
      </w:r>
      <w:r w:rsidR="00F07DCD">
        <w:t>could drive domestic producers out of</w:t>
      </w:r>
      <w:r>
        <w:t xml:space="preserve"> business in favour of imported products (with possibly lower animal welfare standards).</w:t>
      </w:r>
      <w:r w:rsidR="00F352FA">
        <w:t xml:space="preserve"> In a closed society/economy, where no such alternative sources of production are available, the imposition of such ‘forced higher standards’ would result in higher costs (and prices) for animal products relative to other goods and services, </w:t>
      </w:r>
      <w:r w:rsidR="00F07DCD">
        <w:t>which would tend to</w:t>
      </w:r>
      <w:r w:rsidR="00F352FA">
        <w:t xml:space="preserve"> </w:t>
      </w:r>
      <w:r w:rsidR="00F07DCD">
        <w:t>reduce</w:t>
      </w:r>
      <w:r w:rsidR="00F352FA">
        <w:t xml:space="preserve"> consumption and production</w:t>
      </w:r>
      <w:r w:rsidR="004B52E3">
        <w:t>, and thus reduce the size of the sector</w:t>
      </w:r>
      <w:r w:rsidR="000F0F2A">
        <w:t xml:space="preserve"> (and hence shrink the frontier)</w:t>
      </w:r>
      <w:r w:rsidR="00F352FA">
        <w:t xml:space="preserve">. </w:t>
      </w:r>
      <w:r w:rsidR="00F352FA" w:rsidRPr="00526A9D">
        <w:rPr>
          <w:i/>
        </w:rPr>
        <w:t>The combination of higher price and lower consumption demonstrably reduces social welfare, other things being equal, relative to the condition prior to the introduction of the enforced higher standard</w:t>
      </w:r>
      <w:r w:rsidR="00F352FA">
        <w:t>. This is the standard outcome of interference and intervention in a competitive market, which otherwise delivers socially optimal outcomes.</w:t>
      </w:r>
      <w:r w:rsidR="000F0F2A">
        <w:t xml:space="preserve"> </w:t>
      </w:r>
      <w:r w:rsidR="000C002D">
        <w:t xml:space="preserve">However, </w:t>
      </w:r>
      <w:r w:rsidR="00526A9D">
        <w:t>markets can fail</w:t>
      </w:r>
      <w:r w:rsidR="00064324">
        <w:t>, and are commonly regarded as failing for animal welfare</w:t>
      </w:r>
      <w:r w:rsidR="00526A9D">
        <w:t>.</w:t>
      </w:r>
    </w:p>
    <w:p w:rsidR="00F352FA" w:rsidRPr="00FA5CC0" w:rsidRDefault="00FA5CC0" w:rsidP="00FA5CC0">
      <w:pPr>
        <w:pStyle w:val="TOCHeading"/>
        <w:rPr>
          <w:i/>
        </w:rPr>
      </w:pPr>
      <w:r>
        <w:rPr>
          <w:i/>
        </w:rPr>
        <w:t>Market Failures – is Animal Welfare really a Public Good?</w:t>
      </w:r>
    </w:p>
    <w:p w:rsidR="00F60A56" w:rsidRDefault="00526A9D" w:rsidP="008B333A">
      <w:r>
        <w:t>I</w:t>
      </w:r>
      <w:r w:rsidR="00F352FA">
        <w:t xml:space="preserve">t is frequently argued that animal welfare is a </w:t>
      </w:r>
      <w:r w:rsidR="00F352FA">
        <w:rPr>
          <w:i/>
        </w:rPr>
        <w:t>public good</w:t>
      </w:r>
      <w:r w:rsidR="00F352FA">
        <w:t xml:space="preserve"> – and that, as a result, markets fail to deliver socially optimal outcomes. Public goods are those goods (and services) which, once provided for one person, are necessarily also provided for everyone (</w:t>
      </w:r>
      <w:r w:rsidR="00F352FA" w:rsidRPr="00F352FA">
        <w:rPr>
          <w:i/>
        </w:rPr>
        <w:t>non-rival in consumption</w:t>
      </w:r>
      <w:r w:rsidR="00F352FA">
        <w:rPr>
          <w:i/>
        </w:rPr>
        <w:t xml:space="preserve">, </w:t>
      </w:r>
      <w:r w:rsidR="00F352FA" w:rsidRPr="00F352FA">
        <w:t>and</w:t>
      </w:r>
      <w:r w:rsidR="00F352FA">
        <w:rPr>
          <w:i/>
        </w:rPr>
        <w:t xml:space="preserve"> non-excludable </w:t>
      </w:r>
      <w:r w:rsidR="00175E06">
        <w:rPr>
          <w:i/>
        </w:rPr>
        <w:t>–</w:t>
      </w:r>
      <w:r w:rsidR="00F352FA">
        <w:t xml:space="preserve"> </w:t>
      </w:r>
      <w:r w:rsidR="00175E06">
        <w:t>no one can be prevented from enjoying the benefits of the public good, or suffering the pain of public ‘</w:t>
      </w:r>
      <w:proofErr w:type="spellStart"/>
      <w:r w:rsidR="00175E06">
        <w:t>bads</w:t>
      </w:r>
      <w:proofErr w:type="spellEnd"/>
      <w:r w:rsidR="00175E06">
        <w:t>’</w:t>
      </w:r>
      <w:r w:rsidR="00F352FA">
        <w:t>).</w:t>
      </w:r>
      <w:r w:rsidR="00F07DCD">
        <w:t xml:space="preserve"> T</w:t>
      </w:r>
      <w:r w:rsidR="00F60A56">
        <w:t>he public good argument needs substantial clarification</w:t>
      </w:r>
      <w:r>
        <w:t xml:space="preserve"> in the case of animal welfare (Mann, 2005)</w:t>
      </w:r>
      <w:r w:rsidR="00F60A56">
        <w:t>.</w:t>
      </w:r>
    </w:p>
    <w:p w:rsidR="003D584F" w:rsidRDefault="00F60A56" w:rsidP="008B333A">
      <w:r>
        <w:t xml:space="preserve">It is clear that cruelty to animals is a </w:t>
      </w:r>
      <w:r w:rsidRPr="00064324">
        <w:rPr>
          <w:i/>
        </w:rPr>
        <w:t>public bad</w:t>
      </w:r>
      <w:r>
        <w:t>, a</w:t>
      </w:r>
      <w:r w:rsidR="00526A9D">
        <w:t>t</w:t>
      </w:r>
      <w:r>
        <w:t xml:space="preserve"> least as far as most modern societies are concerned. Many people are discomforted by the knowledge that animals are being cruelly treated in their society, and take steps to ensure that this does not happen, usually through persuading their governments to outlaw the practices which discomfort them, and to take the necessary enforcement measures to ensure compliance with the prevention of cruelty law. Absence of cruelty (enforced regulation) is a clear ‘public good’ – once provided for one, it is necessarily provided for all.  However, it is the regulation (en</w:t>
      </w:r>
      <w:r w:rsidR="00C469A0">
        <w:t>forcing the absence of cruelty</w:t>
      </w:r>
      <w:proofErr w:type="gramStart"/>
      <w:r w:rsidR="00C469A0">
        <w:t xml:space="preserve">) </w:t>
      </w:r>
      <w:r>
        <w:t>which</w:t>
      </w:r>
      <w:proofErr w:type="gramEnd"/>
      <w:r>
        <w:t xml:space="preserve"> is the public good, rather than animal welfare </w:t>
      </w:r>
      <w:r>
        <w:rPr>
          <w:i/>
        </w:rPr>
        <w:t>per se</w:t>
      </w:r>
      <w:r>
        <w:t>.</w:t>
      </w:r>
      <w:r w:rsidR="00F328CD">
        <w:t xml:space="preserve"> The regulation can only be judged to be ‘good’ if society as a whole judges the gains resulting from the regulation to more than offset any associated costs and disadvantages.</w:t>
      </w:r>
      <w:r w:rsidR="00692978">
        <w:t xml:space="preserve"> Taking the decision to introduce the regulation implies at least an implicit social cost/benefit calculation in favour of the regulation.</w:t>
      </w:r>
      <w:r w:rsidR="003D584F">
        <w:t xml:space="preserve"> </w:t>
      </w:r>
      <w:r w:rsidR="006632C7">
        <w:t>Since there is no (defensible) cost to outlawing cruelty – once a common definition of cruelty can be agreed – it is clearly in the social interest to outlaw cruelty.  The difficulties arise over whether particular current practices (fox hunting,</w:t>
      </w:r>
      <w:r w:rsidR="00526A9D">
        <w:t xml:space="preserve"> or bull fighting,</w:t>
      </w:r>
      <w:r w:rsidR="00FE0117">
        <w:t xml:space="preserve"> or battery cages</w:t>
      </w:r>
      <w:r w:rsidR="006632C7">
        <w:t xml:space="preserve"> for example) are commonly agreed to be cruel. Clearly those who pursue and support the practice</w:t>
      </w:r>
      <w:r w:rsidR="00526A9D">
        <w:t>s</w:t>
      </w:r>
      <w:r w:rsidR="006632C7">
        <w:t xml:space="preserve"> disagree that </w:t>
      </w:r>
      <w:r w:rsidR="005E2D3A">
        <w:t>they are</w:t>
      </w:r>
      <w:r w:rsidR="00C469A0">
        <w:t xml:space="preserve"> </w:t>
      </w:r>
      <w:r w:rsidR="007A0F45">
        <w:t>unnecessarily</w:t>
      </w:r>
      <w:r w:rsidR="006632C7">
        <w:t xml:space="preserve"> cruel, and will experience a loss as and when </w:t>
      </w:r>
      <w:r w:rsidR="005E2D3A">
        <w:t xml:space="preserve">they are </w:t>
      </w:r>
      <w:r w:rsidR="006632C7">
        <w:t>outlawed. The ‘majority’, however</w:t>
      </w:r>
      <w:r w:rsidR="000F18EF">
        <w:t>, will experience the</w:t>
      </w:r>
      <w:r w:rsidR="00FE0117">
        <w:t xml:space="preserve"> public good</w:t>
      </w:r>
      <w:r w:rsidR="000F18EF">
        <w:t xml:space="preserve"> benefit of knowing that the practice</w:t>
      </w:r>
      <w:r w:rsidR="005E2D3A">
        <w:t>s</w:t>
      </w:r>
      <w:r w:rsidR="000F18EF">
        <w:t xml:space="preserve"> </w:t>
      </w:r>
      <w:r w:rsidR="005E2D3A">
        <w:t xml:space="preserve">are </w:t>
      </w:r>
      <w:r w:rsidR="000F18EF">
        <w:t>no longer pursued.</w:t>
      </w:r>
    </w:p>
    <w:p w:rsidR="005E2D3A" w:rsidRDefault="005E2D3A" w:rsidP="008B333A">
      <w:r>
        <w:t>However, as Mann (</w:t>
      </w:r>
      <w:r>
        <w:rPr>
          <w:i/>
        </w:rPr>
        <w:t>op cit.</w:t>
      </w:r>
      <w:r>
        <w:t xml:space="preserve">) notes, at least some people experience considerable discomfort knowing that animal welfare standards are not as high or good as they should be, regardless of their own consumption (or not) of animal products. The essence of the so-called public good argument in the case of animal welfare is that some peoples’ value of animal welfare is affected by what other people do and consume. In economic terms, this discomfort is a ‘consumption externality’ – an effect on </w:t>
      </w:r>
      <w:r w:rsidR="00AD0619" w:rsidRPr="00AD0619">
        <w:rPr>
          <w:u w:val="single"/>
        </w:rPr>
        <w:t>my</w:t>
      </w:r>
      <w:r>
        <w:t xml:space="preserve"> </w:t>
      </w:r>
      <w:proofErr w:type="gramStart"/>
      <w:r>
        <w:t>wellbeing which</w:t>
      </w:r>
      <w:proofErr w:type="gramEnd"/>
      <w:r>
        <w:t xml:space="preserve"> is generated by </w:t>
      </w:r>
      <w:r w:rsidR="00AD0619" w:rsidRPr="00AD0619">
        <w:rPr>
          <w:u w:val="single"/>
        </w:rPr>
        <w:t>your</w:t>
      </w:r>
      <w:r>
        <w:t xml:space="preserve"> consumption (and hence by the associated production) - rather than a</w:t>
      </w:r>
      <w:r w:rsidR="00064324">
        <w:t xml:space="preserve"> actual</w:t>
      </w:r>
      <w:r>
        <w:t xml:space="preserve"> </w:t>
      </w:r>
      <w:r w:rsidRPr="006D31B8">
        <w:rPr>
          <w:i/>
        </w:rPr>
        <w:t>public good</w:t>
      </w:r>
      <w:r>
        <w:t>.</w:t>
      </w:r>
      <w:r w:rsidR="007A0F45">
        <w:rPr>
          <w:rStyle w:val="FootnoteReference"/>
        </w:rPr>
        <w:footnoteReference w:id="3"/>
      </w:r>
      <w:r>
        <w:t xml:space="preserve"> </w:t>
      </w:r>
      <w:r w:rsidR="007A0F45">
        <w:t>Nevertheless, m</w:t>
      </w:r>
      <w:r>
        <w:t xml:space="preserve">y consumption of products from poor animal welfare production systems helps to perpetuate these poor systems, and adversely affects others who value animal welfare more highly than I do. If I can be persuaded not to consume these products, these other people will feel better off. I, too, might be more prepared to switch my consumption towards more animal welfare friendly products (even if at higher cost) if I could be sure that other people would also do so. But if not, there is a strong temptation for me to consider that my own efforts in favour of better animal welfare are too small to make any substantial difference, and hence not worth my effort.  These consequences are termed the </w:t>
      </w:r>
      <w:r w:rsidR="00D318CE">
        <w:t>“</w:t>
      </w:r>
      <w:r>
        <w:rPr>
          <w:i/>
        </w:rPr>
        <w:t>free-rider</w:t>
      </w:r>
      <w:r w:rsidR="00D318CE">
        <w:rPr>
          <w:i/>
        </w:rPr>
        <w:t>”</w:t>
      </w:r>
      <w:r>
        <w:t xml:space="preserve"> problem</w:t>
      </w:r>
      <w:r w:rsidR="001338A5">
        <w:t>, which we examine more fully below</w:t>
      </w:r>
      <w:r>
        <w:t>.</w:t>
      </w:r>
      <w:r w:rsidR="007A0F45">
        <w:rPr>
          <w:rStyle w:val="FootnoteReference"/>
        </w:rPr>
        <w:footnoteReference w:id="4"/>
      </w:r>
    </w:p>
    <w:p w:rsidR="00D86F9D" w:rsidRPr="005E2D3A" w:rsidRDefault="00D86F9D" w:rsidP="008B333A">
      <w:r>
        <w:t xml:space="preserve">Some will object to the ‘clinical’ economic tone of this account of social demands for better animal welfare, and argue that animal welfare is a moral and ethical issue, which can and should transcend mundane economic considerations. The implication of this perspective is that animal welfare can only be properly determined through legislation and regulation. If so, how does society cope with </w:t>
      </w:r>
      <w:r w:rsidRPr="00D86F9D">
        <w:t xml:space="preserve">the </w:t>
      </w:r>
      <w:r w:rsidRPr="00B16C42">
        <w:rPr>
          <w:i/>
        </w:rPr>
        <w:t>indefiniteness</w:t>
      </w:r>
      <w:r w:rsidRPr="00D86F9D">
        <w:t xml:space="preserve"> created by the very diverse valuations different people attach to animal welfare levels, based on the range of socio-economic characteristics - ethical stance, interest, awareness, susceptibility to propaganda, religious affiliation, sentiment, ignorance, imagination, income, experience, </w:t>
      </w:r>
      <w:r w:rsidR="00B537FB">
        <w:t>and so forth</w:t>
      </w:r>
      <w:r>
        <w:t>?</w:t>
      </w:r>
      <w:r w:rsidRPr="00D86F9D">
        <w:t xml:space="preserve"> This </w:t>
      </w:r>
      <w:r>
        <w:t>indefinite diversity</w:t>
      </w:r>
      <w:r w:rsidRPr="00D86F9D">
        <w:t xml:space="preserve"> highlights the inevitability of a r</w:t>
      </w:r>
      <w:r w:rsidR="00C469A0">
        <w:t>ange of preferred welfare states</w:t>
      </w:r>
      <w:r w:rsidRPr="00D86F9D">
        <w:t xml:space="preserve"> </w:t>
      </w:r>
      <w:r w:rsidR="00C469A0" w:rsidRPr="00C469A0">
        <w:rPr>
          <w:u w:val="single"/>
        </w:rPr>
        <w:t>with</w:t>
      </w:r>
      <w:r w:rsidRPr="00C469A0">
        <w:rPr>
          <w:u w:val="single"/>
        </w:rPr>
        <w:t>in</w:t>
      </w:r>
      <w:r w:rsidRPr="00D86F9D">
        <w:t xml:space="preserve"> a</w:t>
      </w:r>
      <w:r>
        <w:t>ny given</w:t>
      </w:r>
      <w:r w:rsidRPr="00D86F9D">
        <w:t xml:space="preserve"> society</w:t>
      </w:r>
      <w:r>
        <w:t xml:space="preserve"> (let alone a collection of societies such as the EU)</w:t>
      </w:r>
      <w:r w:rsidRPr="00D86F9D">
        <w:t xml:space="preserve"> and the conflicting </w:t>
      </w:r>
      <w:r>
        <w:t>information and judgements about the appropriate definition of</w:t>
      </w:r>
      <w:r w:rsidRPr="00D86F9D">
        <w:t xml:space="preserve"> a 'public good' </w:t>
      </w:r>
      <w:r>
        <w:t xml:space="preserve">(regulated) </w:t>
      </w:r>
      <w:r w:rsidRPr="00D86F9D">
        <w:t>level</w:t>
      </w:r>
      <w:r>
        <w:t xml:space="preserve"> of animal welfare</w:t>
      </w:r>
      <w:r w:rsidRPr="00D86F9D">
        <w:t xml:space="preserve">.  </w:t>
      </w:r>
      <w:r>
        <w:t>In practice,</w:t>
      </w:r>
      <w:r w:rsidRPr="00D86F9D">
        <w:t xml:space="preserve"> only the minimum</w:t>
      </w:r>
      <w:r>
        <w:t xml:space="preserve"> acceptable level of animal welfare is definable</w:t>
      </w:r>
      <w:r w:rsidR="00C469A0">
        <w:t xml:space="preserve"> in legislative terms</w:t>
      </w:r>
      <w:r w:rsidRPr="00D86F9D">
        <w:t xml:space="preserve">, </w:t>
      </w:r>
      <w:r>
        <w:t>as</w:t>
      </w:r>
      <w:r w:rsidRPr="00D86F9D">
        <w:t xml:space="preserve"> the floor below which </w:t>
      </w:r>
      <w:r>
        <w:t>our current civilised society is not prepared</w:t>
      </w:r>
      <w:r w:rsidRPr="00D86F9D">
        <w:t xml:space="preserve"> </w:t>
      </w:r>
      <w:r>
        <w:t>to</w:t>
      </w:r>
      <w:r w:rsidRPr="00D86F9D">
        <w:t xml:space="preserve"> descend.</w:t>
      </w:r>
    </w:p>
    <w:p w:rsidR="00B36790" w:rsidRDefault="003D584F" w:rsidP="008B333A">
      <w:r>
        <w:t>In democratic societies, proposals to introduce new regulations involve more or less extensive discussion and debate between the proponents (arguing the benefits of the new legislation) and the opponents (arguing the costs and disadvantages of the new regulation).</w:t>
      </w:r>
      <w:r w:rsidR="00526A9D">
        <w:t xml:space="preserve"> Mann (</w:t>
      </w:r>
      <w:r w:rsidR="00526A9D">
        <w:rPr>
          <w:i/>
        </w:rPr>
        <w:t>op cit.</w:t>
      </w:r>
      <w:r w:rsidR="00526A9D">
        <w:t>) refers to this process as deliberative. It is largely concerned with ethological issues rather than economic consequences (which tend to be treated as either peripheral or clear indications of vested interests).</w:t>
      </w:r>
      <w:r w:rsidR="00526A9D">
        <w:rPr>
          <w:rStyle w:val="FootnoteReference"/>
        </w:rPr>
        <w:footnoteReference w:id="5"/>
      </w:r>
      <w:r>
        <w:t xml:space="preserve"> In effect, this debate generates the social cost/benefit analysis</w:t>
      </w:r>
      <w:r w:rsidR="001338A5">
        <w:t xml:space="preserve"> (e.g. </w:t>
      </w:r>
      <w:proofErr w:type="spellStart"/>
      <w:r w:rsidR="001338A5">
        <w:t>Tonsor</w:t>
      </w:r>
      <w:proofErr w:type="spellEnd"/>
      <w:r w:rsidR="001338A5">
        <w:t xml:space="preserve"> and Wolf, 2011)</w:t>
      </w:r>
      <w:r>
        <w:t>, albeit seldom if ever couched in such exact and rigorous terms.</w:t>
      </w:r>
      <w:r w:rsidR="0022752D">
        <w:t xml:space="preserve"> The ‘exact’ enumeration of the value of the benefit to each individual in society versus the value of the cost (disadvantage) for each member of society is typically regarded</w:t>
      </w:r>
      <w:r w:rsidR="00C97ADB">
        <w:t xml:space="preserve"> as too difficult and time consuming to be attempted</w:t>
      </w:r>
      <w:r w:rsidR="00526A9D">
        <w:t>, if not completely irrelevant</w:t>
      </w:r>
      <w:r w:rsidR="00B36790">
        <w:t xml:space="preserve">. </w:t>
      </w:r>
      <w:proofErr w:type="gramStart"/>
      <w:r w:rsidR="00B36790">
        <w:t>This</w:t>
      </w:r>
      <w:proofErr w:type="gramEnd"/>
      <w:r w:rsidR="00B36790">
        <w:t xml:space="preserve"> is especially so since the costs and benefits of proposed legislation are necessarily hypothetical, and hence </w:t>
      </w:r>
      <w:proofErr w:type="gramStart"/>
      <w:r w:rsidR="00B36790">
        <w:t>themselves</w:t>
      </w:r>
      <w:proofErr w:type="gramEnd"/>
      <w:r w:rsidR="00B36790">
        <w:t xml:space="preserve"> subject to considerable debate and controversy. On the one hand, producers and the chain will generally emphasise the additional costs associated with the proposed legislation. On the other hand, proponents will emphasise the anticipated benefits (enjoyed by society as a whole, and difficult, if not impossible, to estimate</w:t>
      </w:r>
      <w:r w:rsidR="00FA5CC0">
        <w:t xml:space="preserve"> </w:t>
      </w:r>
      <w:proofErr w:type="spellStart"/>
      <w:r w:rsidR="00FA5CC0">
        <w:t>uncontentiously</w:t>
      </w:r>
      <w:proofErr w:type="spellEnd"/>
      <w:r w:rsidR="00B36790">
        <w:t>).</w:t>
      </w:r>
    </w:p>
    <w:p w:rsidR="002E0E89" w:rsidRDefault="00B36790" w:rsidP="008B333A">
      <w:r>
        <w:t xml:space="preserve">Nevertheless, once introduced, the (regulated) market will judge whether or not the new legislation is actually of net benefit or not, at least in terms of society’s willingness to pay for the improved animal welfare. </w:t>
      </w:r>
      <w:r w:rsidR="00F74B1A">
        <w:t>New</w:t>
      </w:r>
      <w:r>
        <w:t xml:space="preserve"> legislation will generally increase the costs of providing the now more animal friendly products, which will be in competition with less friendly alternatives and with other consumer goods</w:t>
      </w:r>
      <w:r w:rsidR="00FA5CC0">
        <w:t xml:space="preserve"> and activities</w:t>
      </w:r>
      <w:r>
        <w:t>.</w:t>
      </w:r>
      <w:r w:rsidR="00C469A0">
        <w:t xml:space="preserve"> If the new legislation does not increase costs of production and delivery, then it raises the question of why the legislation is actually necessary.</w:t>
      </w:r>
      <w:r>
        <w:t xml:space="preserve"> </w:t>
      </w:r>
      <w:r w:rsidR="004B04BE">
        <w:t>S</w:t>
      </w:r>
      <w:r>
        <w:t xml:space="preserve">ociety </w:t>
      </w:r>
      <w:r w:rsidR="004B04BE">
        <w:t>may recognise</w:t>
      </w:r>
      <w:r>
        <w:t xml:space="preserve"> the more animal friendly</w:t>
      </w:r>
      <w:r w:rsidR="004B04BE">
        <w:t xml:space="preserve"> products, and appreciate</w:t>
      </w:r>
      <w:r>
        <w:t xml:space="preserve"> their contribution to improved animal welfar</w:t>
      </w:r>
      <w:r w:rsidR="00B333A4">
        <w:t xml:space="preserve">e, and </w:t>
      </w:r>
      <w:r w:rsidR="004B04BE">
        <w:t>be</w:t>
      </w:r>
      <w:r w:rsidR="00B333A4">
        <w:t xml:space="preserve"> willing to pay the ne</w:t>
      </w:r>
      <w:r>
        <w:t xml:space="preserve">cessary premium </w:t>
      </w:r>
      <w:r w:rsidR="004B04BE">
        <w:t>for the products.</w:t>
      </w:r>
      <w:r w:rsidR="00B333A4">
        <w:t xml:space="preserve"> </w:t>
      </w:r>
      <w:r w:rsidR="00FA5CC0">
        <w:t>Other things being equal, i</w:t>
      </w:r>
      <w:r w:rsidR="004B04BE">
        <w:t xml:space="preserve">n the event that the total expenditure on, and hence revenues earned by, the sale of the more animal welfare friendly products is at least equal to the spending on the similar but less animal welfare friendly products prior to the introduction of the regulations, then it </w:t>
      </w:r>
      <w:r w:rsidR="00F74B1A">
        <w:t>would be</w:t>
      </w:r>
      <w:r w:rsidR="004B04BE">
        <w:t xml:space="preserve"> clear that society does actually judge the regulation to be a public good. However, such a test is practically impossible to carry out, since many others factors contribute to changes in consumer spending and domestic production</w:t>
      </w:r>
      <w:r w:rsidR="00FA5CC0">
        <w:t xml:space="preserve"> (other things are never equal)</w:t>
      </w:r>
      <w:r w:rsidR="004B04BE">
        <w:t>.  These other factors are practically impossible to control for accurately in</w:t>
      </w:r>
      <w:r w:rsidR="00F07DCD">
        <w:t xml:space="preserve"> any statistical testing for</w:t>
      </w:r>
      <w:r w:rsidR="004B04BE">
        <w:t xml:space="preserve"> the </w:t>
      </w:r>
      <w:r w:rsidR="00F07DCD">
        <w:t>legislative effects in isolation</w:t>
      </w:r>
      <w:r w:rsidR="004B04BE">
        <w:t xml:space="preserve">.  </w:t>
      </w:r>
      <w:r w:rsidR="00162E95">
        <w:t xml:space="preserve">Nevertheless, although </w:t>
      </w:r>
      <w:r w:rsidR="00F74B1A">
        <w:t>the test is impossible to carry out for new legislation, the market itself is continually testing such propositions – that the public is willing to pay for more animal-friendly products and hence production systems.</w:t>
      </w:r>
    </w:p>
    <w:p w:rsidR="00FA5CC0" w:rsidRDefault="00453A60" w:rsidP="008B333A">
      <w:r>
        <w:t>New products or innovative services are judged to be socially beneficial as and when they succeed in the market place</w:t>
      </w:r>
      <w:r w:rsidR="00A02215">
        <w:t xml:space="preserve"> (given the social norms and legal restraints with which society</w:t>
      </w:r>
      <w:r w:rsidR="00AD687A">
        <w:t xml:space="preserve"> </w:t>
      </w:r>
      <w:r w:rsidR="00A02215">
        <w:t>constrains and governs its markets)</w:t>
      </w:r>
      <w:r w:rsidR="00C469A0">
        <w:t>.</w:t>
      </w:r>
      <w:r>
        <w:t xml:space="preserve"> </w:t>
      </w:r>
      <w:r w:rsidR="00A02215">
        <w:t>M</w:t>
      </w:r>
      <w:r>
        <w:t>arket processes are, in effect, continual</w:t>
      </w:r>
      <w:r w:rsidR="00A02215">
        <w:t>ly</w:t>
      </w:r>
      <w:r>
        <w:t xml:space="preserve"> testing the question of whether the social costs of new products and services are actually outweighed by the social benefits – on the critical presumptions that social costs can be adequately measured as the sum of all private costs (accounted for in the market) and similarly that social benefits are accurately reflected by the sum of the expression of private benefits (as expenditures on the products).</w:t>
      </w:r>
      <w:r w:rsidR="00255968">
        <w:t xml:space="preserve"> The complexity of the market processes, as continual negotiations and re-negotiations of contracts between buyers and sellers, both indicate the</w:t>
      </w:r>
      <w:r w:rsidR="00F07DCD">
        <w:t xml:space="preserve"> difficulties of replicating these processes in any formal analysis of the consequences of new products (including new legislation) and also demonstrate the practical effectiveness of the market versus a </w:t>
      </w:r>
      <w:r w:rsidR="005D73BE">
        <w:t>command and control economy.</w:t>
      </w:r>
    </w:p>
    <w:p w:rsidR="005D73BE" w:rsidRPr="00FA5CC0" w:rsidRDefault="00FA5CC0" w:rsidP="00FA5CC0">
      <w:pPr>
        <w:pStyle w:val="TOCHeading"/>
        <w:rPr>
          <w:i/>
        </w:rPr>
      </w:pPr>
      <w:r>
        <w:rPr>
          <w:i/>
        </w:rPr>
        <w:t>Willingness to Pay</w:t>
      </w:r>
    </w:p>
    <w:p w:rsidR="00DC142C" w:rsidRDefault="000F18EF" w:rsidP="008B333A">
      <w:r>
        <w:t>T</w:t>
      </w:r>
      <w:r w:rsidR="005D73BE">
        <w:t>here is a substantial literature reporting estimates of ‘willingness to pay’</w:t>
      </w:r>
      <w:r w:rsidR="00D91523">
        <w:t xml:space="preserve"> (WTP)</w:t>
      </w:r>
      <w:r w:rsidR="005D73BE">
        <w:t xml:space="preserve"> for animal welfare and other attributes of animal products. </w:t>
      </w:r>
      <w:proofErr w:type="spellStart"/>
      <w:r w:rsidR="005D73BE">
        <w:t>Cicia</w:t>
      </w:r>
      <w:proofErr w:type="spellEnd"/>
      <w:r w:rsidR="005D73BE">
        <w:t xml:space="preserve"> and </w:t>
      </w:r>
      <w:proofErr w:type="spellStart"/>
      <w:r w:rsidR="005D73BE">
        <w:t>Colantuoni</w:t>
      </w:r>
      <w:proofErr w:type="spellEnd"/>
      <w:r w:rsidR="005D73BE">
        <w:t xml:space="preserve"> (2010) report a meta-analysis of 23 </w:t>
      </w:r>
      <w:r w:rsidR="00FA5CC0" w:rsidRPr="00162E95">
        <w:t>stu</w:t>
      </w:r>
      <w:r w:rsidR="005D73BE" w:rsidRPr="00162E95">
        <w:t>dies</w:t>
      </w:r>
      <w:r w:rsidR="00D91523">
        <w:t xml:space="preserve"> which estimate a total of 88 WTP measures</w:t>
      </w:r>
      <w:r w:rsidR="005D73BE">
        <w:t xml:space="preserve"> of traceable meat attrib</w:t>
      </w:r>
      <w:r w:rsidR="00D91523">
        <w:t xml:space="preserve">utes, including animal welfare.  Their analysis shows that Europeans are more willing to pay for traceable meat attributes in general than the base (world average). Europeans’ marginal willingness to pay (the extra money for an additional attribute for the average meat product) is a highly significant 15% above the base.  Furthermore, on average over the whole sample of estimates, </w:t>
      </w:r>
      <w:proofErr w:type="spellStart"/>
      <w:r w:rsidR="00D91523">
        <w:t>Cicia</w:t>
      </w:r>
      <w:proofErr w:type="spellEnd"/>
      <w:r w:rsidR="00D91523">
        <w:t xml:space="preserve"> and </w:t>
      </w:r>
      <w:proofErr w:type="spellStart"/>
      <w:r w:rsidR="00D91523">
        <w:t>Colantuoni</w:t>
      </w:r>
      <w:proofErr w:type="spellEnd"/>
      <w:r w:rsidR="00D91523">
        <w:t xml:space="preserve"> find a marginal willingness to pay for an animal welfare attribute of +14%.  The strong implication is that there is, in fact, a substantial market for animal welfare friendly products, especially in Europe.  </w:t>
      </w:r>
    </w:p>
    <w:p w:rsidR="00DC142C" w:rsidRPr="00C84D5F" w:rsidRDefault="00DC142C" w:rsidP="006D0CE6">
      <w:pPr>
        <w:widowControl w:val="0"/>
        <w:autoSpaceDE w:val="0"/>
        <w:autoSpaceDN w:val="0"/>
        <w:adjustRightInd w:val="0"/>
        <w:rPr>
          <w:rFonts w:eastAsiaTheme="minorHAnsi" w:cs="Times"/>
          <w:color w:val="231F20"/>
          <w:szCs w:val="21"/>
          <w:lang w:val="en-US" w:eastAsia="en-US"/>
        </w:rPr>
      </w:pPr>
      <w:r w:rsidRPr="00603C66">
        <w:t xml:space="preserve">Lagerkvist and Hess (2011) report </w:t>
      </w:r>
      <w:r w:rsidR="003754C1" w:rsidRPr="00603C66">
        <w:t>an even more recent and more specific</w:t>
      </w:r>
      <w:r w:rsidRPr="00603C66">
        <w:t xml:space="preserve"> meta-analysis of WTP, based on 24 studies and 106 estimates focused </w:t>
      </w:r>
      <w:r w:rsidR="003754C1" w:rsidRPr="00603C66">
        <w:t xml:space="preserve">specifically </w:t>
      </w:r>
      <w:r w:rsidRPr="00603C66">
        <w:t>on farm animal welfare</w:t>
      </w:r>
      <w:r w:rsidR="0005402F" w:rsidRPr="00603C66">
        <w:t>.</w:t>
      </w:r>
      <w:r w:rsidR="00E2555E" w:rsidRPr="00603C66">
        <w:t xml:space="preserve"> Given this specific focus on animal welfare, the estimates analysed in this paper do not overlap substantially with those of </w:t>
      </w:r>
      <w:proofErr w:type="spellStart"/>
      <w:r w:rsidR="00E2555E" w:rsidRPr="00603C66">
        <w:t>Cicia</w:t>
      </w:r>
      <w:proofErr w:type="spellEnd"/>
      <w:r w:rsidR="00E2555E" w:rsidRPr="00603C66">
        <w:t xml:space="preserve"> and </w:t>
      </w:r>
      <w:proofErr w:type="spellStart"/>
      <w:r w:rsidR="00E2555E" w:rsidRPr="00603C66">
        <w:t>Colantuoni</w:t>
      </w:r>
      <w:proofErr w:type="spellEnd"/>
      <w:r w:rsidR="00E2555E" w:rsidRPr="00603C66">
        <w:t xml:space="preserve"> (</w:t>
      </w:r>
      <w:r w:rsidR="00E2555E" w:rsidRPr="00603C66">
        <w:rPr>
          <w:i/>
        </w:rPr>
        <w:t>op cit.</w:t>
      </w:r>
      <w:r w:rsidR="008C4D6E" w:rsidRPr="00603C66">
        <w:t xml:space="preserve">) who focus on meat attributes more generally. Only one study (Lusk </w:t>
      </w:r>
      <w:r w:rsidR="008C4D6E" w:rsidRPr="00603C66">
        <w:rPr>
          <w:i/>
        </w:rPr>
        <w:t>et al</w:t>
      </w:r>
      <w:r w:rsidR="008C4D6E" w:rsidRPr="00603C66">
        <w:t>, 2003, with 8 estimates) is common between the two meta-analyses. Furthermore, Lagerkvist and Hess (</w:t>
      </w:r>
      <w:r w:rsidR="008C4D6E" w:rsidRPr="00603C66">
        <w:rPr>
          <w:i/>
        </w:rPr>
        <w:t>op cit.</w:t>
      </w:r>
      <w:r w:rsidR="008C4D6E" w:rsidRPr="00603C66">
        <w:t xml:space="preserve">) focus more extensively on European studies, with only 6 of their 23 papers dealing with non-European countries (5 for the USA and one for Australia), generating 14 of their total of 106 WTP estimates. </w:t>
      </w:r>
      <w:r w:rsidR="00603C66" w:rsidRPr="00603C66">
        <w:t xml:space="preserve">Interestingly, </w:t>
      </w:r>
      <w:r w:rsidR="00603C66">
        <w:t xml:space="preserve">these authors do not emphasise the average WTP estimated for animal welfare friendly products across their meta sample, </w:t>
      </w:r>
      <w:r w:rsidR="004E1CA1">
        <w:t>possibly because</w:t>
      </w:r>
      <w:r w:rsidR="00603C66">
        <w:t xml:space="preserve"> their</w:t>
      </w:r>
      <w:r w:rsidR="004E1CA1">
        <w:t xml:space="preserve"> estimation</w:t>
      </w:r>
      <w:r w:rsidR="00603C66">
        <w:t xml:space="preserve"> results</w:t>
      </w:r>
      <w:r w:rsidR="004E1CA1">
        <w:t xml:space="preserve"> do not appear to demonstrate consistent (statistically significant) consensus about this basic measure. However, taken at face value, their results seem to suggest that the WTP for AW friendly products represents a premium of between 50% and 150% of the base price used in each of their studies</w:t>
      </w:r>
      <w:r w:rsidR="00285DFC">
        <w:t>, which (if true) is remarkable, especially since these estimates are made controlling for the major variables which could lead to differing estimates of WTP</w:t>
      </w:r>
      <w:r w:rsidR="00D712D0">
        <w:t>, and which explain over 90% of the variation in the estimates</w:t>
      </w:r>
      <w:r w:rsidR="00285DFC">
        <w:t>.</w:t>
      </w:r>
      <w:r w:rsidR="00C84D5F">
        <w:t xml:space="preserve"> Of these explanatory variables, income of respondents is found to have highly significant and with strongest explanatory power – the higher the income of respondents, the greater the premium WTP for AW. </w:t>
      </w:r>
      <w:r w:rsidR="00BB556E">
        <w:t>They also find that</w:t>
      </w:r>
      <w:r w:rsidR="00C84D5F">
        <w:t>, the older the respondent, the greater the WTP. “</w:t>
      </w:r>
      <w:r w:rsidR="00C84D5F" w:rsidRPr="00C84D5F">
        <w:rPr>
          <w:rFonts w:eastAsiaTheme="minorHAnsi" w:cs="AdvPS6F00"/>
          <w:i/>
          <w:color w:val="231F20"/>
          <w:szCs w:val="21"/>
          <w:lang w:val="en-US" w:eastAsia="en-US"/>
        </w:rPr>
        <w:t>Notably, WTP is consistently negatively related to the legal regulation of Farm Animal Welfare measures</w:t>
      </w:r>
      <w:r w:rsidR="00C84D5F">
        <w:rPr>
          <w:rFonts w:eastAsiaTheme="minorHAnsi" w:cs="AdvPS6F00"/>
          <w:color w:val="231F20"/>
          <w:szCs w:val="21"/>
          <w:lang w:val="en-US" w:eastAsia="en-US"/>
        </w:rPr>
        <w:t>” (p 68)</w:t>
      </w:r>
      <w:r w:rsidR="00BB556E">
        <w:rPr>
          <w:rFonts w:eastAsiaTheme="minorHAnsi" w:cs="AdvPS6F00"/>
          <w:color w:val="231F20"/>
          <w:szCs w:val="21"/>
          <w:lang w:val="en-US" w:eastAsia="en-US"/>
        </w:rPr>
        <w:t>, and (surprisingly) the mention of labeling in the WTP survey questions also reduces the WTP</w:t>
      </w:r>
      <w:r w:rsidR="00C84D5F" w:rsidRPr="00C84D5F">
        <w:rPr>
          <w:rFonts w:eastAsiaTheme="minorHAnsi" w:cs="AdvPS6F00"/>
          <w:color w:val="231F20"/>
          <w:szCs w:val="21"/>
          <w:lang w:val="en-US" w:eastAsia="en-US"/>
        </w:rPr>
        <w:t>.</w:t>
      </w:r>
      <w:r w:rsidR="00C84D5F">
        <w:rPr>
          <w:rFonts w:eastAsiaTheme="minorHAnsi" w:cs="AdvPS6F00"/>
          <w:color w:val="231F20"/>
          <w:szCs w:val="21"/>
          <w:lang w:val="en-US" w:eastAsia="en-US"/>
        </w:rPr>
        <w:t xml:space="preserve"> </w:t>
      </w:r>
      <w:r w:rsidR="006D0CE6">
        <w:rPr>
          <w:rFonts w:eastAsiaTheme="minorHAnsi" w:cs="AdvPS6F00"/>
          <w:color w:val="231F20"/>
          <w:szCs w:val="21"/>
          <w:lang w:val="en-US" w:eastAsia="en-US"/>
        </w:rPr>
        <w:t>They also note that</w:t>
      </w:r>
      <w:r w:rsidR="006D0CE6">
        <w:rPr>
          <w:rFonts w:eastAsiaTheme="minorHAnsi" w:cs="Times"/>
          <w:color w:val="231F20"/>
          <w:szCs w:val="21"/>
          <w:lang w:val="en-US" w:eastAsia="en-US"/>
        </w:rPr>
        <w:t xml:space="preserve"> “</w:t>
      </w:r>
      <w:r w:rsidR="00C84D5F" w:rsidRPr="006D0CE6">
        <w:rPr>
          <w:rFonts w:eastAsiaTheme="minorHAnsi" w:cs="Times"/>
          <w:i/>
          <w:color w:val="231F20"/>
          <w:szCs w:val="21"/>
          <w:lang w:val="en-US" w:eastAsia="en-US"/>
        </w:rPr>
        <w:t>people from Sweden do not appear in the sample as having significantly higher WTP, although Sweden has the longest history of strict legal FAW</w:t>
      </w:r>
      <w:r w:rsidR="00BB556E" w:rsidRPr="006D0CE6">
        <w:rPr>
          <w:rFonts w:eastAsiaTheme="minorHAnsi" w:cs="Times"/>
          <w:i/>
          <w:color w:val="231F20"/>
          <w:szCs w:val="21"/>
          <w:lang w:val="en-US" w:eastAsia="en-US"/>
        </w:rPr>
        <w:t xml:space="preserve"> </w:t>
      </w:r>
      <w:r w:rsidR="00C84D5F" w:rsidRPr="006D0CE6">
        <w:rPr>
          <w:rFonts w:eastAsiaTheme="minorHAnsi" w:cs="Times"/>
          <w:i/>
          <w:color w:val="231F20"/>
          <w:szCs w:val="21"/>
          <w:lang w:val="en-US" w:eastAsia="en-US"/>
        </w:rPr>
        <w:t>regulations, including a ban on battery cages long before it was a political issue elsewhere</w:t>
      </w:r>
      <w:r w:rsidR="006D0CE6">
        <w:rPr>
          <w:rFonts w:eastAsiaTheme="minorHAnsi" w:cs="Times"/>
          <w:color w:val="231F20"/>
          <w:szCs w:val="21"/>
          <w:lang w:val="en-US" w:eastAsia="en-US"/>
        </w:rPr>
        <w:t>” (p.68)</w:t>
      </w:r>
      <w:r w:rsidR="00C84D5F" w:rsidRPr="00C84D5F">
        <w:rPr>
          <w:rFonts w:eastAsiaTheme="minorHAnsi" w:cs="Times"/>
          <w:color w:val="231F20"/>
          <w:szCs w:val="21"/>
          <w:lang w:val="en-US" w:eastAsia="en-US"/>
        </w:rPr>
        <w:t>.</w:t>
      </w:r>
    </w:p>
    <w:p w:rsidR="00FA5CC0" w:rsidRDefault="00D91523" w:rsidP="008B333A">
      <w:r>
        <w:t>Certainly, in the case of free-range eggs, this market has developed strongly over the recent past.</w:t>
      </w:r>
      <w:r w:rsidR="006632C7">
        <w:t xml:space="preserve"> In the UK, for instance, free-range eggs accounted for 32% of total fresh egg sales in 2002, but had reached 80% of the market by 2010/11</w:t>
      </w:r>
      <w:r w:rsidR="006632C7">
        <w:rPr>
          <w:rStyle w:val="FootnoteReference"/>
        </w:rPr>
        <w:footnoteReference w:id="6"/>
      </w:r>
      <w:r w:rsidR="006632C7">
        <w:t xml:space="preserve">. While there have been stories about how the marketing chain participants can attempt to pass off cage eggs at the retail level as if they were free-range, most participants are very well aware that exposure of such fraud would ruin reputations which take years to build, and would be catastrophic for their businesses. Exposure and consequent embarrassment does not have to rely on official inspections – animal welfare activists, concerned citizens, competitors and journalists can all be expected to ‘police’ claims, especially if they are thought likely to be false. Markets and market behaviours are becoming </w:t>
      </w:r>
      <w:proofErr w:type="gramStart"/>
      <w:r w:rsidR="006632C7">
        <w:t>ever-more</w:t>
      </w:r>
      <w:proofErr w:type="gramEnd"/>
      <w:r w:rsidR="006632C7">
        <w:t xml:space="preserve"> sophisticated and self-referential</w:t>
      </w:r>
      <w:r w:rsidR="00FA5CC0">
        <w:t xml:space="preserve"> as a consequence</w:t>
      </w:r>
      <w:r w:rsidR="006632C7">
        <w:t xml:space="preserve">. </w:t>
      </w:r>
      <w:r w:rsidR="000F18EF">
        <w:t xml:space="preserve">Similarly, the growth of brands </w:t>
      </w:r>
      <w:r w:rsidR="001141DE">
        <w:t xml:space="preserve">such </w:t>
      </w:r>
      <w:r w:rsidR="000F18EF">
        <w:t>as Freedom Foods</w:t>
      </w:r>
      <w:r w:rsidR="001141DE">
        <w:t xml:space="preserve"> and</w:t>
      </w:r>
      <w:r w:rsidR="000F18EF">
        <w:t xml:space="preserve"> Organic</w:t>
      </w:r>
      <w:r w:rsidR="001141DE">
        <w:t>, and of business-to-business standards such as</w:t>
      </w:r>
      <w:r w:rsidR="000F18EF">
        <w:t xml:space="preserve"> </w:t>
      </w:r>
      <w:proofErr w:type="spellStart"/>
      <w:r w:rsidR="000F18EF">
        <w:t>Globalgap</w:t>
      </w:r>
      <w:proofErr w:type="spellEnd"/>
      <w:r w:rsidR="001141DE">
        <w:t>,</w:t>
      </w:r>
      <w:r w:rsidR="000F18EF">
        <w:t xml:space="preserve"> clearly shows that at least certain market segments are more than willing to pay the necessary premiums to ensure that</w:t>
      </w:r>
      <w:r w:rsidR="00A02215">
        <w:t xml:space="preserve"> </w:t>
      </w:r>
      <w:r w:rsidR="00FA5CC0">
        <w:t>at least</w:t>
      </w:r>
      <w:r w:rsidR="000F18EF">
        <w:t xml:space="preserve"> their own consumption of animal products is encouraging and rewarding better animal welfare.  Most people (60%) also think that animal welfare has improved over the last ten years, albeit that they also think it could and should be even better (</w:t>
      </w:r>
      <w:proofErr w:type="spellStart"/>
      <w:r w:rsidR="000F18EF">
        <w:t>EuroBarometer</w:t>
      </w:r>
      <w:proofErr w:type="spellEnd"/>
      <w:r w:rsidR="000F18EF">
        <w:t>, 2007).</w:t>
      </w:r>
    </w:p>
    <w:p w:rsidR="00453A60" w:rsidRPr="00FA5CC0" w:rsidRDefault="00FA5CC0" w:rsidP="00FA5CC0">
      <w:pPr>
        <w:pStyle w:val="TOCHeading"/>
        <w:rPr>
          <w:i/>
        </w:rPr>
      </w:pPr>
      <w:r>
        <w:rPr>
          <w:i/>
        </w:rPr>
        <w:t>Animal Welfare as a Consumption Externality: The free rider problem</w:t>
      </w:r>
    </w:p>
    <w:p w:rsidR="00FA5CC0" w:rsidRDefault="009F4957" w:rsidP="008B333A">
      <w:r>
        <w:t>M</w:t>
      </w:r>
      <w:r w:rsidR="00453A60">
        <w:t>a</w:t>
      </w:r>
      <w:r w:rsidR="00EA4E09">
        <w:t>r</w:t>
      </w:r>
      <w:r w:rsidR="00453A60">
        <w:t>kets</w:t>
      </w:r>
      <w:r w:rsidR="006D31B8">
        <w:t xml:space="preserve"> can fail when </w:t>
      </w:r>
      <w:r w:rsidR="006632C7">
        <w:t>the</w:t>
      </w:r>
      <w:r w:rsidR="00453A60">
        <w:t xml:space="preserve"> conditions</w:t>
      </w:r>
      <w:r w:rsidR="006D31B8">
        <w:t xml:space="preserve"> of private and social cost and benefit equivalence</w:t>
      </w:r>
      <w:r w:rsidR="00453A60">
        <w:t xml:space="preserve"> are not met in practice.</w:t>
      </w:r>
      <w:r w:rsidR="00E928D3">
        <w:t xml:space="preserve"> Private costs associated with improving animal welfare are generally a good approximation of the social costs – providing that input </w:t>
      </w:r>
      <w:r w:rsidR="006D31B8">
        <w:t xml:space="preserve">and factor </w:t>
      </w:r>
      <w:r w:rsidR="00E928D3">
        <w:t>costs are not</w:t>
      </w:r>
      <w:r w:rsidR="006D31B8">
        <w:t xml:space="preserve"> unduly</w:t>
      </w:r>
      <w:r w:rsidR="00E928D3">
        <w:t xml:space="preserve"> distorted from their social values. The same is not necessarily true of the market’s valuation of the benefits of animal welfare</w:t>
      </w:r>
      <w:r w:rsidR="005E2D3A">
        <w:t>, be</w:t>
      </w:r>
      <w:r w:rsidR="00AA5627">
        <w:t>cause of the free rider problem as explained above</w:t>
      </w:r>
      <w:r w:rsidR="005E2D3A">
        <w:t>.</w:t>
      </w:r>
      <w:r w:rsidR="00E928D3">
        <w:t xml:space="preserve"> </w:t>
      </w:r>
    </w:p>
    <w:p w:rsidR="002551E4" w:rsidRDefault="001141DE" w:rsidP="008B333A">
      <w:r>
        <w:t>Some c</w:t>
      </w:r>
      <w:r w:rsidR="001D7DC8">
        <w:t>onsumers will be more likely to purchase animal welfare friendly products if they can be sure that many others are also sufficiently concerned about animal welfare</w:t>
      </w:r>
      <w:r w:rsidR="006D31B8">
        <w:t xml:space="preserve"> to contribute to improvement</w:t>
      </w:r>
      <w:r w:rsidR="002551E4">
        <w:t xml:space="preserve"> through their own payments</w:t>
      </w:r>
      <w:r w:rsidR="006D31B8">
        <w:t>. In this case</w:t>
      </w:r>
      <w:r w:rsidR="002474D9">
        <w:t xml:space="preserve"> (where free-riding is not a problem) </w:t>
      </w:r>
      <w:r w:rsidR="006D31B8">
        <w:t>each individual is more likely to contribute more effort and reward (through paying the necessary premium)</w:t>
      </w:r>
      <w:r w:rsidR="001D7DC8">
        <w:t xml:space="preserve"> to encourage and promote </w:t>
      </w:r>
      <w:r w:rsidR="00693E3A">
        <w:t>animal welfare.</w:t>
      </w:r>
    </w:p>
    <w:p w:rsidR="00CA0AEE" w:rsidRPr="001D7DC8" w:rsidRDefault="002551E4" w:rsidP="008B333A">
      <w:r>
        <w:t xml:space="preserve">Legislation does not necessarily solve the free-rider problem. </w:t>
      </w:r>
      <w:r w:rsidR="00877803">
        <w:t>L</w:t>
      </w:r>
      <w:r>
        <w:t xml:space="preserve">egislation for improved animal welfare </w:t>
      </w:r>
      <w:r w:rsidR="00877803">
        <w:t>might</w:t>
      </w:r>
      <w:r>
        <w:t xml:space="preserve"> ensure that everyone benefits from the improvements, </w:t>
      </w:r>
      <w:r w:rsidR="00877803">
        <w:t xml:space="preserve">providing that the legislation is both enforced and </w:t>
      </w:r>
      <w:proofErr w:type="gramStart"/>
      <w:r w:rsidR="00877803">
        <w:t>seen (and believed</w:t>
      </w:r>
      <w:r w:rsidR="0001083E">
        <w:t>)</w:t>
      </w:r>
      <w:r w:rsidR="00877803">
        <w:t xml:space="preserve"> to be effectively enforced</w:t>
      </w:r>
      <w:proofErr w:type="gramEnd"/>
      <w:r w:rsidR="00877803">
        <w:t xml:space="preserve">. But legislation </w:t>
      </w:r>
      <w:r>
        <w:t>does not and cannot ensure that everyone pays for the improvement – people may simply stop buying the generally more expensive products, either switching to alternative sources or eating less meat. Furthermore, there is no automatic or autonomous mechanism through which the legislation can be tested and judged as being in the social interest – other than through the political mechanisms, which</w:t>
      </w:r>
      <w:r w:rsidR="0001083E">
        <w:t xml:space="preserve"> some may argue</w:t>
      </w:r>
      <w:r>
        <w:t xml:space="preserve"> are</w:t>
      </w:r>
      <w:r w:rsidR="00F753CB">
        <w:t xml:space="preserve"> </w:t>
      </w:r>
      <w:r w:rsidR="0001083E">
        <w:t xml:space="preserve">often </w:t>
      </w:r>
      <w:r>
        <w:t>to</w:t>
      </w:r>
      <w:r w:rsidR="00F753CB">
        <w:t>o</w:t>
      </w:r>
      <w:r>
        <w:t xml:space="preserve"> coarse, indirect and ill-defined to do so effectively.</w:t>
      </w:r>
      <w:r w:rsidR="00877803">
        <w:t xml:space="preserve"> </w:t>
      </w:r>
    </w:p>
    <w:p w:rsidR="00FA5CC0" w:rsidRPr="00FA5CC0" w:rsidRDefault="00FA5CC0" w:rsidP="00FA5CC0">
      <w:pPr>
        <w:pStyle w:val="TOCHeading"/>
        <w:rPr>
          <w:i/>
        </w:rPr>
      </w:pPr>
      <w:r>
        <w:rPr>
          <w:i/>
        </w:rPr>
        <w:t>Citizens versus Consumers – the attitude/</w:t>
      </w:r>
      <w:proofErr w:type="spellStart"/>
      <w:r>
        <w:rPr>
          <w:i/>
        </w:rPr>
        <w:t>behaviour</w:t>
      </w:r>
      <w:proofErr w:type="spellEnd"/>
      <w:r>
        <w:rPr>
          <w:i/>
        </w:rPr>
        <w:t xml:space="preserve"> gap</w:t>
      </w:r>
    </w:p>
    <w:p w:rsidR="005F6648" w:rsidRDefault="004B6FE6" w:rsidP="00C47613">
      <w:pPr>
        <w:widowControl w:val="0"/>
        <w:autoSpaceDE w:val="0"/>
        <w:autoSpaceDN w:val="0"/>
        <w:adjustRightInd w:val="0"/>
        <w:spacing w:after="0"/>
        <w:rPr>
          <w:rFonts w:eastAsiaTheme="minorHAnsi" w:cs="Helvetica"/>
          <w:iCs/>
          <w:szCs w:val="20"/>
          <w:lang w:val="en-US" w:eastAsia="en-US"/>
        </w:rPr>
      </w:pPr>
      <w:r>
        <w:t>It is frequently observed that people behave differently as citizens than as consumers</w:t>
      </w:r>
      <w:r w:rsidR="00CA73CB">
        <w:t xml:space="preserve"> (</w:t>
      </w:r>
      <w:r w:rsidR="00917196">
        <w:t xml:space="preserve">e.g. </w:t>
      </w:r>
      <w:proofErr w:type="spellStart"/>
      <w:r w:rsidR="00CA73CB">
        <w:t>McVittie</w:t>
      </w:r>
      <w:proofErr w:type="spellEnd"/>
      <w:r w:rsidR="00CA73CB">
        <w:t xml:space="preserve"> et al., 2006, </w:t>
      </w:r>
      <w:proofErr w:type="spellStart"/>
      <w:r w:rsidR="00917196">
        <w:t>Blandford</w:t>
      </w:r>
      <w:proofErr w:type="spellEnd"/>
      <w:r w:rsidR="00917196">
        <w:t xml:space="preserve"> et al., 2002 and </w:t>
      </w:r>
      <w:r w:rsidR="005F5A0E">
        <w:t>Harper and Henson, 2001)</w:t>
      </w:r>
      <w:r w:rsidR="00CA73CB">
        <w:t xml:space="preserve">, and </w:t>
      </w:r>
      <w:r w:rsidR="00122E4B">
        <w:t xml:space="preserve">often </w:t>
      </w:r>
      <w:r w:rsidR="00CA73CB">
        <w:t>“stated concern over animal welfare does not necessarily translate into purchase decision” (</w:t>
      </w:r>
      <w:proofErr w:type="spellStart"/>
      <w:r w:rsidR="00CA73CB">
        <w:t>Toma</w:t>
      </w:r>
      <w:proofErr w:type="spellEnd"/>
      <w:r w:rsidR="00CA73CB">
        <w:t xml:space="preserve"> </w:t>
      </w:r>
      <w:proofErr w:type="spellStart"/>
      <w:r w:rsidR="00CA73CB">
        <w:t>et.al</w:t>
      </w:r>
      <w:proofErr w:type="spellEnd"/>
      <w:r w:rsidR="00CA73CB">
        <w:t>, 2011, p.263)</w:t>
      </w:r>
      <w:r w:rsidR="00ED2E82">
        <w:t xml:space="preserve"> </w:t>
      </w:r>
      <w:proofErr w:type="spellStart"/>
      <w:r w:rsidR="005F5A0E">
        <w:t>Vonhonacker</w:t>
      </w:r>
      <w:proofErr w:type="spellEnd"/>
      <w:r w:rsidR="005F5A0E">
        <w:t xml:space="preserve"> et al. (2007, p.86)</w:t>
      </w:r>
      <w:r w:rsidR="008974FA">
        <w:t xml:space="preserve"> </w:t>
      </w:r>
      <w:r w:rsidR="00917196">
        <w:t>label</w:t>
      </w:r>
      <w:r w:rsidR="005F5A0E">
        <w:t xml:space="preserve"> this as the “consumer-citizen duality”.</w:t>
      </w:r>
      <w:r w:rsidR="00ED2E82">
        <w:t xml:space="preserve"> </w:t>
      </w:r>
      <w:r>
        <w:t xml:space="preserve">The public pressure for legislation, improved standards and related government action on animal welfare is typically supposed to come from citizens rather than consumers (albeit that they are the same people). However, within the EU, there are </w:t>
      </w:r>
      <w:r w:rsidR="001141DE">
        <w:t xml:space="preserve">few </w:t>
      </w:r>
      <w:r>
        <w:t>mechanisms th</w:t>
      </w:r>
      <w:r w:rsidR="00B532B9">
        <w:t>r</w:t>
      </w:r>
      <w:r>
        <w:t>ough which constituents (citizens) can vote directly for government action on animal welfare, in contrast to, e.g., California</w:t>
      </w:r>
      <w:r w:rsidR="005F6648">
        <w:t xml:space="preserve"> or Switzerland</w:t>
      </w:r>
      <w:r>
        <w:rPr>
          <w:i/>
        </w:rPr>
        <w:t>.</w:t>
      </w:r>
      <w:r>
        <w:t xml:space="preserve"> Rather, constituent pressure for government action on animal welfare comes from public attitude surveys (</w:t>
      </w:r>
      <w:proofErr w:type="spellStart"/>
      <w:r>
        <w:t>EuroBarometer</w:t>
      </w:r>
      <w:proofErr w:type="spellEnd"/>
      <w:r>
        <w:t xml:space="preserve">, 2005, 2007 are the archetypical examples) and indirect pressure on political representatives and assemblies from individual concerned citizens and </w:t>
      </w:r>
      <w:r w:rsidR="00FC2089">
        <w:t xml:space="preserve">advocacy </w:t>
      </w:r>
      <w:r>
        <w:t xml:space="preserve">groups (NGOs) seeking better </w:t>
      </w:r>
      <w:r w:rsidR="00B532B9">
        <w:t xml:space="preserve">animal </w:t>
      </w:r>
      <w:r>
        <w:t xml:space="preserve">standards (e.g. CIWF).  Clearly, some citizens are much more concerned than others, with those seriously enough concerned to devote time and resources to the campaign </w:t>
      </w:r>
      <w:r w:rsidR="00866F15">
        <w:t>typically in</w:t>
      </w:r>
      <w:r>
        <w:t xml:space="preserve"> </w:t>
      </w:r>
      <w:r w:rsidR="00866F15">
        <w:t>the</w:t>
      </w:r>
      <w:r>
        <w:t xml:space="preserve"> minority. </w:t>
      </w:r>
      <w:r w:rsidR="00CE7915">
        <w:t>However, a</w:t>
      </w:r>
      <w:r w:rsidR="00C42C56">
        <w:t xml:space="preserve">ttitude and opinion surveys frequently record </w:t>
      </w:r>
      <w:r w:rsidR="00866F15">
        <w:t xml:space="preserve">very </w:t>
      </w:r>
      <w:r w:rsidR="00C42C56">
        <w:t xml:space="preserve">substantial agreement with statements </w:t>
      </w:r>
      <w:r w:rsidR="00866F15">
        <w:t xml:space="preserve">about improving animal welfare. </w:t>
      </w:r>
      <w:r w:rsidR="00C47613">
        <w:t xml:space="preserve">For instance, </w:t>
      </w:r>
      <w:proofErr w:type="spellStart"/>
      <w:r w:rsidR="00866F15">
        <w:t>EuroBarometer</w:t>
      </w:r>
      <w:proofErr w:type="spellEnd"/>
      <w:r w:rsidR="00866F15">
        <w:t xml:space="preserve"> (2007)</w:t>
      </w:r>
      <w:r w:rsidR="00CE7915">
        <w:t>, as the ubiquitous example,</w:t>
      </w:r>
      <w:r w:rsidR="00C47613">
        <w:t xml:space="preserve"> includes the questions:</w:t>
      </w:r>
      <w:r w:rsidR="00C42C56">
        <w:t xml:space="preserve"> </w:t>
      </w:r>
      <w:r w:rsidR="00C42C56" w:rsidRPr="002958F3">
        <w:rPr>
          <w:rFonts w:cs="Arial"/>
          <w:szCs w:val="22"/>
        </w:rPr>
        <w:t>“</w:t>
      </w:r>
      <w:r w:rsidR="00C42C56" w:rsidRPr="002958F3">
        <w:rPr>
          <w:rFonts w:eastAsiaTheme="minorHAnsi" w:cs="Arial"/>
          <w:i/>
          <w:iCs/>
          <w:szCs w:val="22"/>
          <w:lang w:val="en-US" w:eastAsia="en-US"/>
        </w:rPr>
        <w:t>Do you believe that in general the welfare–protection of farm animals in (our country) needs to be improved?”</w:t>
      </w:r>
      <w:r w:rsidR="00C42C56" w:rsidRPr="002958F3">
        <w:rPr>
          <w:rFonts w:eastAsiaTheme="minorHAnsi" w:cs="Arial"/>
          <w:iCs/>
          <w:szCs w:val="22"/>
          <w:lang w:val="en-US" w:eastAsia="en-US"/>
        </w:rPr>
        <w:t xml:space="preserve"> (35% ‘certainly’, 42% “probably’)</w:t>
      </w:r>
      <w:proofErr w:type="gramStart"/>
      <w:r w:rsidR="00C47613" w:rsidRPr="002958F3">
        <w:rPr>
          <w:rFonts w:eastAsiaTheme="minorHAnsi" w:cs="Arial"/>
          <w:iCs/>
          <w:szCs w:val="22"/>
          <w:lang w:val="en-US" w:eastAsia="en-US"/>
        </w:rPr>
        <w:t>;</w:t>
      </w:r>
      <w:proofErr w:type="gramEnd"/>
      <w:r w:rsidR="00C42C56" w:rsidRPr="002958F3">
        <w:rPr>
          <w:rFonts w:eastAsiaTheme="minorHAnsi" w:cs="Arial"/>
          <w:iCs/>
          <w:szCs w:val="22"/>
          <w:lang w:val="en-US" w:eastAsia="en-US"/>
        </w:rPr>
        <w:t xml:space="preserve"> “</w:t>
      </w:r>
      <w:r w:rsidR="00866F15" w:rsidRPr="002958F3">
        <w:rPr>
          <w:rFonts w:eastAsiaTheme="minorHAnsi" w:cs="Arial"/>
          <w:i/>
          <w:iCs/>
          <w:szCs w:val="22"/>
          <w:lang w:val="en-US" w:eastAsia="en-US"/>
        </w:rPr>
        <w:t>Please tell me on a scale of 1-10 how important is it to you that the welfare of farmed animals is protected?</w:t>
      </w:r>
      <w:r w:rsidR="00866F15">
        <w:rPr>
          <w:rFonts w:eastAsiaTheme="minorHAnsi" w:cs="Helvetica"/>
          <w:iCs/>
          <w:szCs w:val="20"/>
          <w:lang w:val="en-US" w:eastAsia="en-US"/>
        </w:rPr>
        <w:t xml:space="preserve"> (</w:t>
      </w:r>
      <w:proofErr w:type="gramStart"/>
      <w:r w:rsidR="00866F15">
        <w:rPr>
          <w:rFonts w:eastAsiaTheme="minorHAnsi" w:cs="Helvetica"/>
          <w:iCs/>
          <w:szCs w:val="20"/>
          <w:lang w:val="en-US" w:eastAsia="en-US"/>
        </w:rPr>
        <w:t xml:space="preserve">34% reporting 10, </w:t>
      </w:r>
      <w:r w:rsidR="00C47613">
        <w:rPr>
          <w:rFonts w:eastAsiaTheme="minorHAnsi" w:cs="Helvetica"/>
          <w:iCs/>
          <w:szCs w:val="20"/>
          <w:lang w:val="en-US" w:eastAsia="en-US"/>
        </w:rPr>
        <w:t>with</w:t>
      </w:r>
      <w:r w:rsidR="00CE7915">
        <w:rPr>
          <w:rFonts w:eastAsiaTheme="minorHAnsi" w:cs="Helvetica"/>
          <w:szCs w:val="20"/>
          <w:lang w:val="en-US" w:eastAsia="en-US"/>
        </w:rPr>
        <w:t xml:space="preserve"> EU15 </w:t>
      </w:r>
      <w:r w:rsidR="00C47613">
        <w:rPr>
          <w:rFonts w:eastAsiaTheme="minorHAnsi" w:cs="Helvetica"/>
          <w:szCs w:val="20"/>
          <w:lang w:val="en-US" w:eastAsia="en-US"/>
        </w:rPr>
        <w:t xml:space="preserve">averaging </w:t>
      </w:r>
      <w:r w:rsidR="00C47613" w:rsidRPr="00C47613">
        <w:rPr>
          <w:rFonts w:eastAsiaTheme="minorHAnsi" w:cs="Helvetica"/>
          <w:szCs w:val="20"/>
          <w:lang w:val="en-US" w:eastAsia="en-US"/>
        </w:rPr>
        <w:t>7.8</w:t>
      </w:r>
      <w:r w:rsidR="00C47613">
        <w:rPr>
          <w:rFonts w:eastAsiaTheme="minorHAnsi" w:cs="Helvetica"/>
          <w:szCs w:val="20"/>
          <w:lang w:val="en-US" w:eastAsia="en-US"/>
        </w:rPr>
        <w:t xml:space="preserve"> versus the ten new Member States at </w:t>
      </w:r>
      <w:r w:rsidR="00C47613" w:rsidRPr="00C47613">
        <w:rPr>
          <w:rFonts w:eastAsiaTheme="minorHAnsi" w:cs="Helvetica"/>
          <w:szCs w:val="20"/>
          <w:lang w:val="en-US" w:eastAsia="en-US"/>
        </w:rPr>
        <w:t>7.5)</w:t>
      </w:r>
      <w:r w:rsidR="00C47613">
        <w:rPr>
          <w:rFonts w:eastAsiaTheme="minorHAnsi" w:cs="Helvetica"/>
          <w:iCs/>
          <w:szCs w:val="20"/>
          <w:lang w:val="en-US" w:eastAsia="en-US"/>
        </w:rPr>
        <w:t>.</w:t>
      </w:r>
      <w:proofErr w:type="gramEnd"/>
      <w:r w:rsidR="00CE7915">
        <w:rPr>
          <w:rFonts w:eastAsiaTheme="minorHAnsi" w:cs="Helvetica"/>
          <w:iCs/>
          <w:szCs w:val="20"/>
          <w:lang w:val="en-US" w:eastAsia="en-US"/>
        </w:rPr>
        <w:t xml:space="preserve"> There are criticisms that such surveys do not account for framing bias (the tendency for people to agree with statements reflecting </w:t>
      </w:r>
      <w:r w:rsidR="00FA5CC0">
        <w:rPr>
          <w:rFonts w:eastAsiaTheme="minorHAnsi" w:cs="Helvetica"/>
          <w:iCs/>
          <w:szCs w:val="20"/>
          <w:lang w:val="en-US" w:eastAsia="en-US"/>
        </w:rPr>
        <w:t xml:space="preserve">perceived </w:t>
      </w:r>
      <w:r w:rsidR="00CE7915">
        <w:rPr>
          <w:rFonts w:eastAsiaTheme="minorHAnsi" w:cs="Helvetica"/>
          <w:iCs/>
          <w:szCs w:val="20"/>
          <w:lang w:val="en-US" w:eastAsia="en-US"/>
        </w:rPr>
        <w:t>social norms), scaling bias (associated with the length of scale offered to respondents), and the lack of any relativity</w:t>
      </w:r>
      <w:r w:rsidR="006D0CE6">
        <w:rPr>
          <w:rFonts w:eastAsiaTheme="minorHAnsi" w:cs="Helvetica"/>
          <w:iCs/>
          <w:szCs w:val="20"/>
          <w:lang w:val="en-US" w:eastAsia="en-US"/>
        </w:rPr>
        <w:t xml:space="preserve"> or assessment of salience</w:t>
      </w:r>
      <w:r w:rsidR="00CE7915">
        <w:rPr>
          <w:rFonts w:eastAsiaTheme="minorHAnsi" w:cs="Helvetica"/>
          <w:iCs/>
          <w:szCs w:val="20"/>
          <w:lang w:val="en-US" w:eastAsia="en-US"/>
        </w:rPr>
        <w:t xml:space="preserve"> when asking about importance (relative to other perhaps more important</w:t>
      </w:r>
      <w:r w:rsidR="00FA5CC0">
        <w:rPr>
          <w:rFonts w:eastAsiaTheme="minorHAnsi" w:cs="Helvetica"/>
          <w:iCs/>
          <w:szCs w:val="20"/>
          <w:lang w:val="en-US" w:eastAsia="en-US"/>
        </w:rPr>
        <w:t xml:space="preserve"> personal,</w:t>
      </w:r>
      <w:r w:rsidR="00CE7915">
        <w:rPr>
          <w:rFonts w:eastAsiaTheme="minorHAnsi" w:cs="Helvetica"/>
          <w:iCs/>
          <w:szCs w:val="20"/>
          <w:lang w:val="en-US" w:eastAsia="en-US"/>
        </w:rPr>
        <w:t xml:space="preserve"> social and public issues). Nevertheless, it is apparent that people as citizens do support animal welfare, and also assert that more could and should be done to improve animal welfare conditions</w:t>
      </w:r>
      <w:r w:rsidR="00ED2E82">
        <w:rPr>
          <w:rFonts w:eastAsiaTheme="minorHAnsi" w:cs="Helvetica"/>
          <w:iCs/>
          <w:szCs w:val="20"/>
          <w:lang w:val="en-US" w:eastAsia="en-US"/>
        </w:rPr>
        <w:t>,</w:t>
      </w:r>
      <w:r w:rsidR="00CE7915">
        <w:rPr>
          <w:rFonts w:eastAsiaTheme="minorHAnsi" w:cs="Helvetica"/>
          <w:iCs/>
          <w:szCs w:val="20"/>
          <w:lang w:val="en-US" w:eastAsia="en-US"/>
        </w:rPr>
        <w:t xml:space="preserve"> </w:t>
      </w:r>
      <w:r w:rsidR="00ED2E82">
        <w:t>reflecting society’s moral and ethical va</w:t>
      </w:r>
      <w:r w:rsidR="0062321F">
        <w:t xml:space="preserve">lues (Bennett and </w:t>
      </w:r>
      <w:proofErr w:type="spellStart"/>
      <w:r w:rsidR="0062321F">
        <w:t>Blaney</w:t>
      </w:r>
      <w:proofErr w:type="spellEnd"/>
      <w:r w:rsidR="0062321F">
        <w:t>, 2002</w:t>
      </w:r>
      <w:r w:rsidR="00ED2E82">
        <w:t xml:space="preserve">). </w:t>
      </w:r>
      <w:proofErr w:type="spellStart"/>
      <w:r w:rsidR="00ED2E82">
        <w:t>Vonhonacker</w:t>
      </w:r>
      <w:proofErr w:type="spellEnd"/>
      <w:r w:rsidR="00ED2E82">
        <w:t xml:space="preserve"> et al. (2007, p.86) also note that animal welfare is an ethical issue, and  “highly sensitive to social desirable answering”.</w:t>
      </w:r>
    </w:p>
    <w:p w:rsidR="00C42C56" w:rsidRPr="00866F15" w:rsidRDefault="00C42C56" w:rsidP="00866F15">
      <w:pPr>
        <w:widowControl w:val="0"/>
        <w:autoSpaceDE w:val="0"/>
        <w:autoSpaceDN w:val="0"/>
        <w:adjustRightInd w:val="0"/>
        <w:spacing w:after="0"/>
        <w:rPr>
          <w:rFonts w:eastAsiaTheme="minorHAnsi" w:cs="Verdana-Italic"/>
          <w:iCs/>
          <w:szCs w:val="20"/>
          <w:lang w:val="en-US" w:eastAsia="en-US"/>
        </w:rPr>
      </w:pPr>
    </w:p>
    <w:p w:rsidR="006D4593" w:rsidRPr="00A02215" w:rsidRDefault="00CE7915" w:rsidP="008B333A">
      <w:pPr>
        <w:rPr>
          <w:rFonts w:cs="Gill Sans"/>
          <w:iCs/>
          <w:szCs w:val="20"/>
        </w:rPr>
      </w:pPr>
      <w:r w:rsidRPr="00A02215">
        <w:rPr>
          <w:rFonts w:eastAsiaTheme="minorHAnsi" w:cs="Verdana-Italic"/>
          <w:iCs/>
          <w:szCs w:val="20"/>
          <w:lang w:val="en-US" w:eastAsia="en-US"/>
        </w:rPr>
        <w:t>In spite of these apparently strong attitudes, the market for improved animal welfare products is frequently regarded as niche rather than mainstream – people as citizens profess substantial concern about animal welfare but do not ‘put their money where their mouths are’ when it comes to doing something about it. If more people were prepared to spend more money on improved animal welfare</w:t>
      </w:r>
      <w:r w:rsidR="00B647BB">
        <w:rPr>
          <w:rFonts w:eastAsiaTheme="minorHAnsi" w:cs="Verdana-Italic"/>
          <w:iCs/>
          <w:szCs w:val="20"/>
          <w:lang w:val="en-US" w:eastAsia="en-US"/>
        </w:rPr>
        <w:t xml:space="preserve"> products</w:t>
      </w:r>
      <w:r w:rsidRPr="00A02215">
        <w:rPr>
          <w:rFonts w:eastAsiaTheme="minorHAnsi" w:cs="Verdana-Italic"/>
          <w:iCs/>
          <w:szCs w:val="20"/>
          <w:lang w:val="en-US" w:eastAsia="en-US"/>
        </w:rPr>
        <w:t xml:space="preserve">, </w:t>
      </w:r>
      <w:r w:rsidR="008156B3" w:rsidRPr="00A02215">
        <w:rPr>
          <w:rFonts w:eastAsiaTheme="minorHAnsi" w:cs="Verdana-Italic"/>
          <w:iCs/>
          <w:szCs w:val="20"/>
          <w:lang w:val="en-US" w:eastAsia="en-US"/>
        </w:rPr>
        <w:t xml:space="preserve">the market would be encouraged to respond by providing them, with the premium necessary to cover </w:t>
      </w:r>
      <w:r w:rsidR="00FC2089">
        <w:rPr>
          <w:rFonts w:eastAsiaTheme="minorHAnsi" w:cs="Verdana-Italic"/>
          <w:iCs/>
          <w:szCs w:val="20"/>
          <w:lang w:val="en-US" w:eastAsia="en-US"/>
        </w:rPr>
        <w:t>any</w:t>
      </w:r>
      <w:r w:rsidR="00FC2089" w:rsidRPr="00A02215">
        <w:rPr>
          <w:rFonts w:eastAsiaTheme="minorHAnsi" w:cs="Verdana-Italic"/>
          <w:iCs/>
          <w:szCs w:val="20"/>
          <w:lang w:val="en-US" w:eastAsia="en-US"/>
        </w:rPr>
        <w:t xml:space="preserve"> </w:t>
      </w:r>
      <w:r w:rsidR="008156B3" w:rsidRPr="00A02215">
        <w:rPr>
          <w:rFonts w:eastAsiaTheme="minorHAnsi" w:cs="Verdana-Italic"/>
          <w:iCs/>
          <w:szCs w:val="20"/>
          <w:lang w:val="en-US" w:eastAsia="en-US"/>
        </w:rPr>
        <w:t xml:space="preserve">additional costs.  </w:t>
      </w:r>
      <w:r w:rsidR="00635A95" w:rsidRPr="00A02215">
        <w:t>There is a growing literature on</w:t>
      </w:r>
      <w:r w:rsidR="0002250C" w:rsidRPr="00A02215">
        <w:t xml:space="preserve"> </w:t>
      </w:r>
      <w:r w:rsidR="00E81705" w:rsidRPr="00A02215">
        <w:t>the difference between</w:t>
      </w:r>
      <w:r w:rsidR="0002250C" w:rsidRPr="00A02215">
        <w:t xml:space="preserve"> </w:t>
      </w:r>
      <w:r w:rsidR="00635A95" w:rsidRPr="00A02215">
        <w:t>‘voting intentions’ or attitudes</w:t>
      </w:r>
      <w:r w:rsidR="0002250C" w:rsidRPr="00A02215">
        <w:t xml:space="preserve"> </w:t>
      </w:r>
      <w:r w:rsidR="00E81705" w:rsidRPr="00A02215">
        <w:t>and</w:t>
      </w:r>
      <w:r w:rsidR="0002250C" w:rsidRPr="00A02215">
        <w:t xml:space="preserve"> purchasing intentions</w:t>
      </w:r>
      <w:r w:rsidR="006D4593" w:rsidRPr="00A02215">
        <w:t xml:space="preserve"> and behaviour, </w:t>
      </w:r>
      <w:r w:rsidR="00281A2F" w:rsidRPr="00A02215">
        <w:t>e.g.</w:t>
      </w:r>
      <w:r w:rsidR="00F1682B" w:rsidRPr="00A02215">
        <w:t xml:space="preserve"> </w:t>
      </w:r>
      <w:proofErr w:type="spellStart"/>
      <w:r w:rsidR="00F1682B" w:rsidRPr="00A02215">
        <w:t>Verbeke</w:t>
      </w:r>
      <w:proofErr w:type="spellEnd"/>
      <w:r w:rsidR="00F1682B" w:rsidRPr="00A02215">
        <w:t>, 2009:  “</w:t>
      </w:r>
      <w:r w:rsidR="00F1682B" w:rsidRPr="00A02215">
        <w:rPr>
          <w:rFonts w:cs="Gill Sans"/>
          <w:i/>
          <w:iCs/>
          <w:szCs w:val="20"/>
        </w:rPr>
        <w:t>Although the importance that citizens claim to attach to animal welfare seems relatively strong, consumers’ interest in information about animal welfare is only moderate compared to other product attributes, and the market shares of products with a distinct animal welfare identity remain small</w:t>
      </w:r>
      <w:r w:rsidR="00F1682B" w:rsidRPr="00A02215">
        <w:rPr>
          <w:rFonts w:cs="Gill Sans"/>
          <w:iCs/>
          <w:szCs w:val="20"/>
        </w:rPr>
        <w:t xml:space="preserve">” </w:t>
      </w:r>
      <w:r w:rsidR="001576F0">
        <w:rPr>
          <w:rFonts w:cs="Gill Sans"/>
          <w:iCs/>
          <w:szCs w:val="20"/>
        </w:rPr>
        <w:t>(</w:t>
      </w:r>
      <w:r w:rsidR="00F1682B" w:rsidRPr="00A02215">
        <w:rPr>
          <w:rFonts w:cs="Gill Sans"/>
          <w:iCs/>
          <w:szCs w:val="20"/>
        </w:rPr>
        <w:t>p. 325</w:t>
      </w:r>
      <w:r w:rsidR="001576F0">
        <w:rPr>
          <w:rFonts w:cs="Gill Sans"/>
          <w:iCs/>
          <w:szCs w:val="20"/>
        </w:rPr>
        <w:t>)</w:t>
      </w:r>
      <w:r w:rsidR="00F1682B" w:rsidRPr="00A02215">
        <w:rPr>
          <w:rFonts w:cs="Gill Sans"/>
          <w:i/>
          <w:iCs/>
          <w:szCs w:val="20"/>
        </w:rPr>
        <w:t>.</w:t>
      </w:r>
      <w:r w:rsidR="006D4593" w:rsidRPr="00A02215">
        <w:rPr>
          <w:rFonts w:cs="Gill Sans"/>
          <w:iCs/>
          <w:szCs w:val="20"/>
        </w:rPr>
        <w:t xml:space="preserve">  </w:t>
      </w:r>
    </w:p>
    <w:p w:rsidR="00ED2E82" w:rsidRDefault="0001083E" w:rsidP="008B333A">
      <w:pPr>
        <w:rPr>
          <w:rFonts w:cs="Gill Sans"/>
          <w:iCs/>
          <w:szCs w:val="20"/>
        </w:rPr>
      </w:pPr>
      <w:r>
        <w:rPr>
          <w:rFonts w:cs="Gill Sans"/>
          <w:iCs/>
          <w:szCs w:val="20"/>
        </w:rPr>
        <w:t xml:space="preserve">However, there is </w:t>
      </w:r>
      <w:r w:rsidR="00ED2E82">
        <w:rPr>
          <w:rFonts w:cs="Gill Sans"/>
          <w:iCs/>
          <w:szCs w:val="20"/>
        </w:rPr>
        <w:t xml:space="preserve">only a limited literature </w:t>
      </w:r>
      <w:r>
        <w:rPr>
          <w:rFonts w:cs="Gill Sans"/>
          <w:iCs/>
          <w:szCs w:val="20"/>
        </w:rPr>
        <w:t>and research on why these differences exist, as opposed to the fact that they do</w:t>
      </w:r>
      <w:r w:rsidR="00ED2E82">
        <w:rPr>
          <w:rFonts w:cs="Gill Sans"/>
          <w:iCs/>
          <w:szCs w:val="20"/>
        </w:rPr>
        <w:t xml:space="preserve"> (</w:t>
      </w:r>
      <w:r w:rsidR="00C469A0">
        <w:t>(</w:t>
      </w:r>
      <w:proofErr w:type="spellStart"/>
      <w:r w:rsidR="00C469A0">
        <w:t>Vonhonacker</w:t>
      </w:r>
      <w:proofErr w:type="spellEnd"/>
      <w:r w:rsidR="00C469A0">
        <w:t xml:space="preserve"> et al., </w:t>
      </w:r>
      <w:r w:rsidR="00ED2E82">
        <w:t>2007, Harper and Henson, 2001)</w:t>
      </w:r>
      <w:r>
        <w:rPr>
          <w:rFonts w:cs="Gill Sans"/>
          <w:iCs/>
          <w:szCs w:val="20"/>
        </w:rPr>
        <w:t xml:space="preserve">. </w:t>
      </w:r>
      <w:r w:rsidR="006D4593">
        <w:rPr>
          <w:rFonts w:cs="Gill Sans"/>
          <w:iCs/>
          <w:szCs w:val="20"/>
        </w:rPr>
        <w:t>There are</w:t>
      </w:r>
      <w:r>
        <w:rPr>
          <w:rFonts w:cs="Gill Sans"/>
          <w:iCs/>
          <w:szCs w:val="20"/>
        </w:rPr>
        <w:t>, in principle,</w:t>
      </w:r>
      <w:r w:rsidR="006D4593">
        <w:rPr>
          <w:rFonts w:cs="Gill Sans"/>
          <w:iCs/>
          <w:szCs w:val="20"/>
        </w:rPr>
        <w:t xml:space="preserve"> six major reasons that can be attributed to people ‘voting’ for animal welfare improvements (expressing or reporting attitudes in favour of better animal welfare) but not actually purchasing more animal welfare friendly</w:t>
      </w:r>
      <w:r w:rsidR="00C469A0">
        <w:rPr>
          <w:rFonts w:cs="Gill Sans"/>
          <w:iCs/>
          <w:szCs w:val="20"/>
        </w:rPr>
        <w:t xml:space="preserve"> products, as shown in Figure 2</w:t>
      </w:r>
      <w:r w:rsidR="001A740D">
        <w:rPr>
          <w:rFonts w:cs="Gill Sans"/>
          <w:iCs/>
          <w:szCs w:val="20"/>
        </w:rPr>
        <w:t xml:space="preserve">. </w:t>
      </w:r>
      <w:r w:rsidR="006D4593">
        <w:rPr>
          <w:rFonts w:cs="Gill Sans"/>
          <w:iCs/>
          <w:szCs w:val="20"/>
        </w:rPr>
        <w:t>The simplest</w:t>
      </w:r>
      <w:r w:rsidR="001A740D">
        <w:rPr>
          <w:rFonts w:cs="Gill Sans"/>
          <w:iCs/>
          <w:szCs w:val="20"/>
        </w:rPr>
        <w:t xml:space="preserve"> (first)</w:t>
      </w:r>
      <w:r w:rsidR="006D4593">
        <w:rPr>
          <w:rFonts w:cs="Gill Sans"/>
          <w:iCs/>
          <w:szCs w:val="20"/>
        </w:rPr>
        <w:t xml:space="preserve"> reason/excuse is that people are not actually prepared to pay the necessary premium for the more AW friendly products,</w:t>
      </w:r>
      <w:r w:rsidR="00ED2E82">
        <w:rPr>
          <w:rFonts w:cs="Gill Sans"/>
          <w:iCs/>
          <w:szCs w:val="20"/>
        </w:rPr>
        <w:t xml:space="preserve"> </w:t>
      </w:r>
      <w:r>
        <w:rPr>
          <w:rFonts w:cs="Gill Sans"/>
          <w:iCs/>
          <w:szCs w:val="20"/>
        </w:rPr>
        <w:t xml:space="preserve">whatever </w:t>
      </w:r>
      <w:r w:rsidR="006D4593">
        <w:rPr>
          <w:rFonts w:cs="Gill Sans"/>
          <w:iCs/>
          <w:szCs w:val="20"/>
        </w:rPr>
        <w:t>their underlying reasons for this lack of willingness to pay</w:t>
      </w:r>
      <w:r w:rsidR="001A740D">
        <w:rPr>
          <w:rFonts w:cs="Gill Sans"/>
          <w:iCs/>
          <w:szCs w:val="20"/>
        </w:rPr>
        <w:t xml:space="preserve"> (WTP)</w:t>
      </w:r>
      <w:r>
        <w:rPr>
          <w:rFonts w:cs="Gill Sans"/>
          <w:iCs/>
          <w:szCs w:val="20"/>
        </w:rPr>
        <w:t>, which</w:t>
      </w:r>
      <w:r w:rsidR="006D4593">
        <w:rPr>
          <w:rFonts w:cs="Gill Sans"/>
          <w:iCs/>
          <w:szCs w:val="20"/>
        </w:rPr>
        <w:t xml:space="preserve"> are doubtless extremely complex. Whatever their reasons, </w:t>
      </w:r>
      <w:r w:rsidR="00E22B5B">
        <w:rPr>
          <w:rFonts w:cs="Gill Sans"/>
          <w:iCs/>
          <w:szCs w:val="20"/>
        </w:rPr>
        <w:t>it is simply ‘cheap talk’ to vote for something for which one is not prepared to pay (Andersen, 2011)</w:t>
      </w:r>
      <w:r w:rsidR="001A740D">
        <w:rPr>
          <w:rFonts w:cs="Gill Sans"/>
          <w:iCs/>
          <w:szCs w:val="20"/>
        </w:rPr>
        <w:t xml:space="preserve">. </w:t>
      </w:r>
      <w:proofErr w:type="gramStart"/>
      <w:r>
        <w:rPr>
          <w:rFonts w:cs="Gill Sans"/>
          <w:iCs/>
          <w:szCs w:val="20"/>
        </w:rPr>
        <w:t>If consumers to not exhibit or express any</w:t>
      </w:r>
      <w:r w:rsidR="001A740D">
        <w:rPr>
          <w:rFonts w:cs="Gill Sans"/>
          <w:iCs/>
          <w:szCs w:val="20"/>
        </w:rPr>
        <w:t xml:space="preserve"> WTP</w:t>
      </w:r>
      <w:r>
        <w:rPr>
          <w:rFonts w:cs="Gill Sans"/>
          <w:iCs/>
          <w:szCs w:val="20"/>
        </w:rPr>
        <w:t xml:space="preserve"> for AW friendly products</w:t>
      </w:r>
      <w:r w:rsidR="001A740D">
        <w:rPr>
          <w:rFonts w:cs="Gill Sans"/>
          <w:iCs/>
          <w:szCs w:val="20"/>
        </w:rPr>
        <w:t>, mark</w:t>
      </w:r>
      <w:r w:rsidR="00F2052A">
        <w:rPr>
          <w:rFonts w:cs="Gill Sans"/>
          <w:iCs/>
          <w:szCs w:val="20"/>
        </w:rPr>
        <w:t>ets cannot be expected to work.</w:t>
      </w:r>
      <w:proofErr w:type="gramEnd"/>
      <w:r w:rsidR="00F2052A">
        <w:rPr>
          <w:rFonts w:cs="Gill Sans"/>
          <w:iCs/>
          <w:szCs w:val="20"/>
        </w:rPr>
        <w:t xml:space="preserve"> T</w:t>
      </w:r>
      <w:r w:rsidR="001A740D">
        <w:rPr>
          <w:rFonts w:cs="Gill Sans"/>
          <w:iCs/>
          <w:szCs w:val="20"/>
        </w:rPr>
        <w:t>he fact that market</w:t>
      </w:r>
      <w:r>
        <w:rPr>
          <w:rFonts w:cs="Gill Sans"/>
          <w:iCs/>
          <w:szCs w:val="20"/>
        </w:rPr>
        <w:t>s</w:t>
      </w:r>
      <w:r w:rsidR="001A740D">
        <w:rPr>
          <w:rFonts w:cs="Gill Sans"/>
          <w:iCs/>
          <w:szCs w:val="20"/>
        </w:rPr>
        <w:t xml:space="preserve"> d</w:t>
      </w:r>
      <w:r>
        <w:rPr>
          <w:rFonts w:cs="Gill Sans"/>
          <w:iCs/>
          <w:szCs w:val="20"/>
        </w:rPr>
        <w:t>o</w:t>
      </w:r>
      <w:r w:rsidR="001A740D">
        <w:rPr>
          <w:rFonts w:cs="Gill Sans"/>
          <w:iCs/>
          <w:szCs w:val="20"/>
        </w:rPr>
        <w:t xml:space="preserve"> not respond to attitudes or votes cannot be described</w:t>
      </w:r>
      <w:r>
        <w:rPr>
          <w:rFonts w:cs="Gill Sans"/>
          <w:iCs/>
          <w:szCs w:val="20"/>
        </w:rPr>
        <w:t>, in itself,</w:t>
      </w:r>
      <w:r w:rsidR="001A740D">
        <w:rPr>
          <w:rFonts w:cs="Gill Sans"/>
          <w:iCs/>
          <w:szCs w:val="20"/>
        </w:rPr>
        <w:t xml:space="preserve"> as ‘market failure’.</w:t>
      </w:r>
      <w:r w:rsidR="00ED2E82">
        <w:rPr>
          <w:rStyle w:val="FootnoteReference"/>
          <w:iCs/>
          <w:szCs w:val="20"/>
        </w:rPr>
        <w:footnoteReference w:id="7"/>
      </w:r>
      <w:r w:rsidR="001A740D">
        <w:rPr>
          <w:rFonts w:cs="Gill Sans"/>
          <w:iCs/>
          <w:szCs w:val="20"/>
        </w:rPr>
        <w:t xml:space="preserve"> </w:t>
      </w:r>
    </w:p>
    <w:p w:rsidR="000F18EF" w:rsidRDefault="001A740D" w:rsidP="008B333A">
      <w:pPr>
        <w:rPr>
          <w:rFonts w:cs="Gill Sans"/>
          <w:iCs/>
          <w:szCs w:val="20"/>
        </w:rPr>
      </w:pPr>
      <w:r>
        <w:rPr>
          <w:rFonts w:cs="Gill Sans"/>
          <w:iCs/>
          <w:szCs w:val="20"/>
        </w:rPr>
        <w:t xml:space="preserve">However, there are </w:t>
      </w:r>
      <w:r w:rsidR="00E41A6C">
        <w:rPr>
          <w:rFonts w:cs="Gill Sans"/>
          <w:iCs/>
          <w:szCs w:val="20"/>
        </w:rPr>
        <w:t xml:space="preserve">several </w:t>
      </w:r>
      <w:r>
        <w:rPr>
          <w:rFonts w:cs="Gill Sans"/>
          <w:iCs/>
          <w:szCs w:val="20"/>
        </w:rPr>
        <w:t xml:space="preserve">other </w:t>
      </w:r>
      <w:proofErr w:type="gramStart"/>
      <w:r>
        <w:rPr>
          <w:rFonts w:cs="Gill Sans"/>
          <w:iCs/>
          <w:szCs w:val="20"/>
        </w:rPr>
        <w:t>reasons which</w:t>
      </w:r>
      <w:proofErr w:type="gramEnd"/>
      <w:r>
        <w:rPr>
          <w:rFonts w:cs="Gill Sans"/>
          <w:iCs/>
          <w:szCs w:val="20"/>
        </w:rPr>
        <w:t xml:space="preserve"> can explain the difference between attitudes and WTP.  The second reason identified in Figure 2 is that (some) people would be willing to pay the necessary premium if only they could be sure that their contribution to improved animal welfare would actually make a difference to animal welfare – the free-rider problem outlined above.</w:t>
      </w:r>
    </w:p>
    <w:p w:rsidR="003C69B4" w:rsidRPr="00362282" w:rsidRDefault="00362282" w:rsidP="005831C4">
      <w:pPr>
        <w:spacing w:after="200" w:line="220" w:lineRule="atLeast"/>
        <w:rPr>
          <w:b/>
        </w:rPr>
      </w:pPr>
      <w:r w:rsidRPr="00362282">
        <w:rPr>
          <w:b/>
        </w:rPr>
        <w:t>Figure 2:</w:t>
      </w:r>
      <w:r w:rsidRPr="00362282">
        <w:rPr>
          <w:b/>
        </w:rPr>
        <w:tab/>
        <w:t>Citizens versus Consumers:  Economic rationale and consequences</w:t>
      </w:r>
    </w:p>
    <w:p w:rsidR="003C69B4" w:rsidRDefault="006D4593" w:rsidP="005831C4">
      <w:pPr>
        <w:spacing w:after="200" w:line="220" w:lineRule="atLeast"/>
      </w:pPr>
      <w:r w:rsidRPr="006D4593">
        <w:rPr>
          <w:noProof/>
          <w:lang w:val="en-US" w:eastAsia="en-US"/>
        </w:rPr>
        <w:drawing>
          <wp:inline distT="0" distB="0" distL="0" distR="0">
            <wp:extent cx="5486400" cy="3333115"/>
            <wp:effectExtent l="25400" t="0" r="0" b="0"/>
            <wp:docPr id="3" name="O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4953000"/>
                      <a:chOff x="990600" y="1143000"/>
                      <a:chExt cx="8153400" cy="4953000"/>
                    </a:xfrm>
                  </a:grpSpPr>
                  <a:grpSp>
                    <a:nvGrpSpPr>
                      <a:cNvPr id="55" name="Group 54"/>
                      <a:cNvGrpSpPr/>
                    </a:nvGrpSpPr>
                    <a:grpSpPr>
                      <a:xfrm>
                        <a:off x="990600" y="1143000"/>
                        <a:ext cx="8153400" cy="4953000"/>
                        <a:chOff x="990600" y="1143000"/>
                        <a:chExt cx="8153400" cy="4953000"/>
                      </a:xfrm>
                    </a:grpSpPr>
                    <a:sp>
                      <a:nvSpPr>
                        <a:cNvPr id="48" name="AutoShape 28"/>
                        <a:cNvSpPr>
                          <a:spLocks noChangeArrowheads="1"/>
                        </a:cNvSpPr>
                      </a:nvSpPr>
                      <a:spPr bwMode="auto">
                        <a:xfrm>
                          <a:off x="8153400" y="4267200"/>
                          <a:ext cx="762000" cy="381000"/>
                        </a:xfrm>
                        <a:prstGeom prst="roundRect">
                          <a:avLst>
                            <a:gd name="adj" fmla="val 16667"/>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solidFill>
                                  <a:srgbClr val="3337CD"/>
                                </a:solidFill>
                              </a:rPr>
                              <a:t>Markets working</a:t>
                            </a:r>
                          </a:p>
                        </a:txBody>
                        <a:useSpRect/>
                      </a:txSp>
                    </a:sp>
                    <a:grpSp>
                      <a:nvGrpSpPr>
                        <a:cNvPr id="4" name="Group 53"/>
                        <a:cNvGrpSpPr/>
                      </a:nvGrpSpPr>
                      <a:grpSpPr>
                        <a:xfrm>
                          <a:off x="990600" y="1143000"/>
                          <a:ext cx="8153400" cy="4953000"/>
                          <a:chOff x="990600" y="1143000"/>
                          <a:chExt cx="8153400" cy="4953000"/>
                        </a:xfrm>
                      </a:grpSpPr>
                      <a:sp>
                        <a:nvSpPr>
                          <a:cNvPr id="47" name="Oval 6"/>
                          <a:cNvSpPr>
                            <a:spLocks noChangeArrowheads="1"/>
                          </a:cNvSpPr>
                        </a:nvSpPr>
                        <a:spPr bwMode="auto">
                          <a:xfrm>
                            <a:off x="7854950" y="2971800"/>
                            <a:ext cx="1289050" cy="685800"/>
                          </a:xfrm>
                          <a:prstGeom prst="ellipse">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smtClean="0"/>
                                <a:t>6: Other things are more important?</a:t>
                              </a:r>
                              <a:endParaRPr lang="en-US" sz="1000" dirty="0"/>
                            </a:p>
                          </a:txBody>
                          <a:useSpRect/>
                        </a:txSp>
                      </a:sp>
                      <a:grpSp>
                        <a:nvGrpSpPr>
                          <a:cNvPr id="6" name="Group 52"/>
                          <a:cNvGrpSpPr/>
                        </a:nvGrpSpPr>
                        <a:grpSpPr>
                          <a:xfrm>
                            <a:off x="990600" y="1143000"/>
                            <a:ext cx="7678738" cy="4953000"/>
                            <a:chOff x="990600" y="1143000"/>
                            <a:chExt cx="7678738" cy="4953000"/>
                          </a:xfrm>
                        </a:grpSpPr>
                        <a:sp>
                          <a:nvSpPr>
                            <a:cNvPr id="31747" name="Oval 6"/>
                            <a:cNvSpPr>
                              <a:spLocks noChangeArrowheads="1"/>
                            </a:cNvSpPr>
                          </a:nvSpPr>
                          <a:spPr bwMode="auto">
                            <a:xfrm>
                              <a:off x="1143000" y="2971800"/>
                              <a:ext cx="1212850" cy="685800"/>
                            </a:xfrm>
                            <a:prstGeom prst="ellipse">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smtClean="0"/>
                                  <a:t>2: Because </a:t>
                                </a:r>
                                <a:r>
                                  <a:rPr lang="en-US" sz="1000" dirty="0"/>
                                  <a:t>others don’t (free rider problem)?</a:t>
                                </a:r>
                              </a:p>
                            </a:txBody>
                            <a:useSpRect/>
                          </a:txSp>
                        </a:sp>
                        <a:sp>
                          <a:nvSpPr>
                            <a:cNvPr id="31748" name="AutoShape 7"/>
                            <a:cNvSpPr>
                              <a:spLocks noChangeArrowheads="1"/>
                            </a:cNvSpPr>
                          </a:nvSpPr>
                          <a:spPr bwMode="auto">
                            <a:xfrm>
                              <a:off x="4572000" y="1905000"/>
                              <a:ext cx="1376363" cy="576263"/>
                            </a:xfrm>
                            <a:prstGeom prst="hexagon">
                              <a:avLst>
                                <a:gd name="adj" fmla="val 53098"/>
                                <a:gd name="vf" fmla="val 115470"/>
                              </a:avLst>
                            </a:prstGeom>
                            <a:noFill/>
                            <a:ln w="9525">
                              <a:solidFill>
                                <a:schemeClr val="tx1"/>
                              </a:solidFill>
                              <a:miter lim="800000"/>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endParaRPr lang="en-US" sz="1000">
                                  <a:solidFill>
                                    <a:srgbClr val="3337CD"/>
                                  </a:solidFill>
                                </a:endParaRPr>
                              </a:p>
                              <a:p>
                                <a:pPr algn="ctr"/>
                                <a:r>
                                  <a:rPr lang="en-US" sz="1000">
                                    <a:solidFill>
                                      <a:srgbClr val="3337CD"/>
                                    </a:solidFill>
                                  </a:rPr>
                                  <a:t>Consumers buy more AW?</a:t>
                                </a:r>
                              </a:p>
                              <a:p>
                                <a:pPr algn="ctr"/>
                                <a:endParaRPr lang="en-US" sz="1000">
                                  <a:solidFill>
                                    <a:srgbClr val="3337CD"/>
                                  </a:solidFill>
                                </a:endParaRPr>
                              </a:p>
                            </a:txBody>
                            <a:useSpRect/>
                          </a:txSp>
                        </a:sp>
                        <a:sp>
                          <a:nvSpPr>
                            <a:cNvPr id="31749" name="AutoShape 15"/>
                            <a:cNvSpPr>
                              <a:spLocks noChangeArrowheads="1"/>
                            </a:cNvSpPr>
                          </a:nvSpPr>
                          <a:spPr bwMode="auto">
                            <a:xfrm>
                              <a:off x="4724400" y="1143000"/>
                              <a:ext cx="1066800" cy="533400"/>
                            </a:xfrm>
                            <a:prstGeom prst="roundRect">
                              <a:avLst>
                                <a:gd name="adj" fmla="val 16667"/>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r>
                                  <a:rPr lang="en-US" sz="1000" dirty="0">
                                    <a:solidFill>
                                      <a:srgbClr val="3337CD"/>
                                    </a:solidFill>
                                  </a:rPr>
                                  <a:t>Citizens</a:t>
                                </a:r>
                                <a:r>
                                  <a:rPr lang="en-US" sz="1000" dirty="0" smtClean="0">
                                    <a:solidFill>
                                      <a:srgbClr val="3337CD"/>
                                    </a:solidFill>
                                  </a:rPr>
                                  <a:t> “vote”</a:t>
                                </a:r>
                              </a:p>
                              <a:p>
                                <a:r>
                                  <a:rPr lang="en-US" sz="1000" dirty="0">
                                    <a:solidFill>
                                      <a:srgbClr val="3337CD"/>
                                    </a:solidFill>
                                  </a:rPr>
                                  <a:t>for better AW</a:t>
                                </a:r>
                              </a:p>
                            </a:txBody>
                            <a:useSpRect/>
                          </a:txSp>
                        </a:sp>
                        <a:sp>
                          <a:nvSpPr>
                            <a:cNvPr id="31750" name="Line 18"/>
                            <a:cNvSpPr>
                              <a:spLocks noChangeShapeType="1"/>
                            </a:cNvSpPr>
                          </a:nvSpPr>
                          <a:spPr bwMode="auto">
                            <a:xfrm>
                              <a:off x="5257800" y="1676400"/>
                              <a:ext cx="0" cy="2286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51" name="AutoShape 28"/>
                            <a:cNvSpPr>
                              <a:spLocks noChangeArrowheads="1"/>
                            </a:cNvSpPr>
                          </a:nvSpPr>
                          <a:spPr bwMode="auto">
                            <a:xfrm>
                              <a:off x="990600" y="5029200"/>
                              <a:ext cx="762000" cy="381000"/>
                            </a:xfrm>
                            <a:prstGeom prst="roundRect">
                              <a:avLst>
                                <a:gd name="adj" fmla="val 16667"/>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solidFill>
                                      <a:srgbClr val="3337CD"/>
                                    </a:solidFill>
                                  </a:rPr>
                                  <a:t>Markets working</a:t>
                                </a:r>
                              </a:p>
                            </a:txBody>
                            <a:useSpRect/>
                          </a:txSp>
                        </a:sp>
                        <a:sp>
                          <a:nvSpPr>
                            <a:cNvPr id="31752" name="Line 33"/>
                            <a:cNvSpPr>
                              <a:spLocks noChangeShapeType="1"/>
                            </a:cNvSpPr>
                          </a:nvSpPr>
                          <a:spPr bwMode="auto">
                            <a:xfrm>
                              <a:off x="5943600" y="2209800"/>
                              <a:ext cx="1219200" cy="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53" name="Line 4"/>
                            <a:cNvSpPr>
                              <a:spLocks noChangeShapeType="1"/>
                            </a:cNvSpPr>
                          </a:nvSpPr>
                          <a:spPr bwMode="auto">
                            <a:xfrm>
                              <a:off x="5257800" y="2514600"/>
                              <a:ext cx="0" cy="4572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54" name="Oval 20"/>
                            <a:cNvSpPr>
                              <a:spLocks noChangeArrowheads="1"/>
                            </a:cNvSpPr>
                          </a:nvSpPr>
                          <a:spPr bwMode="auto">
                            <a:xfrm>
                              <a:off x="5105400" y="2667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N</a:t>
                                </a:r>
                              </a:p>
                            </a:txBody>
                            <a:useSpRect/>
                          </a:txSp>
                        </a:sp>
                        <a:sp>
                          <a:nvSpPr>
                            <a:cNvPr id="31755" name="Oval 12"/>
                            <a:cNvSpPr>
                              <a:spLocks noChangeArrowheads="1"/>
                            </a:cNvSpPr>
                          </a:nvSpPr>
                          <a:spPr bwMode="auto">
                            <a:xfrm>
                              <a:off x="6400800" y="21336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Y</a:t>
                                </a:r>
                              </a:p>
                            </a:txBody>
                            <a:useSpRect/>
                          </a:txSp>
                        </a:sp>
                        <a:sp>
                          <a:nvSpPr>
                            <a:cNvPr id="31756" name="Line 4"/>
                            <a:cNvSpPr>
                              <a:spLocks noChangeShapeType="1"/>
                            </a:cNvSpPr>
                          </a:nvSpPr>
                          <a:spPr bwMode="auto">
                            <a:xfrm flipH="1">
                              <a:off x="2133600" y="2209800"/>
                              <a:ext cx="533400" cy="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57" name="Oval 12"/>
                            <a:cNvSpPr>
                              <a:spLocks noChangeArrowheads="1"/>
                            </a:cNvSpPr>
                          </a:nvSpPr>
                          <a:spPr bwMode="auto">
                            <a:xfrm>
                              <a:off x="2286000" y="21336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Y</a:t>
                                </a:r>
                              </a:p>
                            </a:txBody>
                            <a:useSpRect/>
                          </a:txSp>
                        </a:sp>
                        <a:sp>
                          <a:nvSpPr>
                            <a:cNvPr id="31758" name="Line 4"/>
                            <a:cNvSpPr>
                              <a:spLocks noChangeShapeType="1"/>
                            </a:cNvSpPr>
                          </a:nvSpPr>
                          <a:spPr bwMode="auto">
                            <a:xfrm flipH="1">
                              <a:off x="3886200" y="2362200"/>
                              <a:ext cx="838200" cy="7620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59" name="Line 4"/>
                            <a:cNvSpPr>
                              <a:spLocks noChangeShapeType="1"/>
                            </a:cNvSpPr>
                          </a:nvSpPr>
                          <a:spPr bwMode="auto">
                            <a:xfrm flipH="1">
                              <a:off x="3962400" y="2209800"/>
                              <a:ext cx="609600" cy="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60" name="Oval 20"/>
                            <a:cNvSpPr>
                              <a:spLocks noChangeArrowheads="1"/>
                            </a:cNvSpPr>
                          </a:nvSpPr>
                          <a:spPr bwMode="auto">
                            <a:xfrm>
                              <a:off x="4114800" y="21336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N</a:t>
                                </a:r>
                              </a:p>
                            </a:txBody>
                            <a:useSpRect/>
                          </a:txSp>
                        </a:sp>
                        <a:sp>
                          <a:nvSpPr>
                            <a:cNvPr id="31761" name="Oval 6"/>
                            <a:cNvSpPr>
                              <a:spLocks noChangeArrowheads="1"/>
                            </a:cNvSpPr>
                          </a:nvSpPr>
                          <a:spPr bwMode="auto">
                            <a:xfrm>
                              <a:off x="4572000" y="2971800"/>
                              <a:ext cx="1371600" cy="685800"/>
                            </a:xfrm>
                            <a:prstGeom prst="ellipse">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smtClean="0"/>
                                  <a:t>4: Information </a:t>
                                </a:r>
                                <a:r>
                                  <a:rPr lang="en-US" sz="1000" dirty="0"/>
                                  <a:t>is inadequate?</a:t>
                                </a:r>
                              </a:p>
                            </a:txBody>
                            <a:useSpRect/>
                          </a:txSp>
                        </a:sp>
                        <a:sp>
                          <a:nvSpPr>
                            <a:cNvPr id="31762" name="Oval 6"/>
                            <a:cNvSpPr>
                              <a:spLocks noChangeArrowheads="1"/>
                            </a:cNvSpPr>
                          </a:nvSpPr>
                          <a:spPr bwMode="auto">
                            <a:xfrm>
                              <a:off x="6324600" y="2971800"/>
                              <a:ext cx="1289050" cy="685800"/>
                            </a:xfrm>
                            <a:prstGeom prst="ellipse">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smtClean="0"/>
                                  <a:t>5: Too </a:t>
                                </a:r>
                                <a:r>
                                  <a:rPr lang="en-US" sz="1000" dirty="0"/>
                                  <a:t>much effort to </a:t>
                                </a:r>
                                <a:r>
                                  <a:rPr lang="en-US" sz="1000" dirty="0" smtClean="0"/>
                                  <a:t>check and find?</a:t>
                                </a:r>
                                <a:endParaRPr lang="en-US" sz="1000" dirty="0"/>
                              </a:p>
                            </a:txBody>
                            <a:useSpRect/>
                          </a:txSp>
                        </a:sp>
                        <a:sp>
                          <a:nvSpPr>
                            <a:cNvPr id="31763" name="Oval 6"/>
                            <a:cNvSpPr>
                              <a:spLocks noChangeArrowheads="1"/>
                            </a:cNvSpPr>
                          </a:nvSpPr>
                          <a:spPr bwMode="auto">
                            <a:xfrm>
                              <a:off x="2590800" y="1905000"/>
                              <a:ext cx="1447800" cy="685800"/>
                            </a:xfrm>
                            <a:prstGeom prst="ellipse">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smtClean="0"/>
                                  <a:t>1: Because </a:t>
                                </a:r>
                                <a:r>
                                  <a:rPr lang="en-US" sz="1000" dirty="0"/>
                                  <a:t>not willing to pay necessary premium?</a:t>
                                </a:r>
                              </a:p>
                            </a:txBody>
                            <a:useSpRect/>
                          </a:txSp>
                        </a:sp>
                        <a:sp>
                          <a:nvSpPr>
                            <a:cNvPr id="31764" name="AutoShape 28"/>
                            <a:cNvSpPr>
                              <a:spLocks noChangeArrowheads="1"/>
                            </a:cNvSpPr>
                          </a:nvSpPr>
                          <a:spPr bwMode="auto">
                            <a:xfrm>
                              <a:off x="1219200" y="1905000"/>
                              <a:ext cx="914400" cy="609600"/>
                            </a:xfrm>
                            <a:prstGeom prst="roundRect">
                              <a:avLst>
                                <a:gd name="adj" fmla="val 16667"/>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a:solidFill>
                                      <a:srgbClr val="3337CD"/>
                                    </a:solidFill>
                                  </a:rPr>
                                  <a:t>Voting signal is ‘cheap talk’</a:t>
                                </a:r>
                              </a:p>
                            </a:txBody>
                            <a:useSpRect/>
                          </a:txSp>
                        </a:sp>
                        <a:sp>
                          <a:nvSpPr>
                            <a:cNvPr id="31765" name="Line 4"/>
                            <a:cNvSpPr>
                              <a:spLocks noChangeShapeType="1"/>
                            </a:cNvSpPr>
                          </a:nvSpPr>
                          <a:spPr bwMode="auto">
                            <a:xfrm>
                              <a:off x="5791200" y="2362200"/>
                              <a:ext cx="685800" cy="6858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66" name="Oval 20"/>
                            <a:cNvSpPr>
                              <a:spLocks noChangeArrowheads="1"/>
                            </a:cNvSpPr>
                          </a:nvSpPr>
                          <a:spPr bwMode="auto">
                            <a:xfrm>
                              <a:off x="4191000" y="2667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N</a:t>
                                </a:r>
                              </a:p>
                            </a:txBody>
                            <a:useSpRect/>
                          </a:txSp>
                        </a:sp>
                        <a:sp>
                          <a:nvSpPr>
                            <a:cNvPr id="31767" name="Oval 20"/>
                            <a:cNvSpPr>
                              <a:spLocks noChangeArrowheads="1"/>
                            </a:cNvSpPr>
                          </a:nvSpPr>
                          <a:spPr bwMode="auto">
                            <a:xfrm>
                              <a:off x="6019800" y="2667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a:t>N</a:t>
                                </a:r>
                              </a:p>
                            </a:txBody>
                            <a:useSpRect/>
                          </a:txSp>
                        </a:sp>
                        <a:sp>
                          <a:nvSpPr>
                            <a:cNvPr id="31768" name="AutoShape 7"/>
                            <a:cNvSpPr>
                              <a:spLocks noChangeArrowheads="1"/>
                            </a:cNvSpPr>
                          </a:nvSpPr>
                          <a:spPr bwMode="auto">
                            <a:xfrm>
                              <a:off x="990600" y="3962400"/>
                              <a:ext cx="1600200" cy="576263"/>
                            </a:xfrm>
                            <a:prstGeom prst="hexagon">
                              <a:avLst>
                                <a:gd name="adj" fmla="val 53095"/>
                                <a:gd name="vf" fmla="val 115470"/>
                              </a:avLst>
                            </a:prstGeom>
                            <a:noFill/>
                            <a:ln w="9525">
                              <a:solidFill>
                                <a:schemeClr val="tx1"/>
                              </a:solidFill>
                              <a:miter lim="800000"/>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endParaRPr lang="en-US" sz="1000">
                                  <a:solidFill>
                                    <a:srgbClr val="3337CD"/>
                                  </a:solidFill>
                                </a:endParaRPr>
                              </a:p>
                              <a:p>
                                <a:pPr algn="ctr"/>
                                <a:r>
                                  <a:rPr lang="en-US" sz="1000">
                                    <a:solidFill>
                                      <a:srgbClr val="3337CD"/>
                                    </a:solidFill>
                                  </a:rPr>
                                  <a:t>Free rider deficit &gt; market deficit?</a:t>
                                </a:r>
                              </a:p>
                              <a:p>
                                <a:pPr algn="ctr"/>
                                <a:endParaRPr lang="en-US" sz="1000">
                                  <a:solidFill>
                                    <a:srgbClr val="3337CD"/>
                                  </a:solidFill>
                                </a:endParaRPr>
                              </a:p>
                            </a:txBody>
                            <a:useSpRect/>
                          </a:txSp>
                        </a:sp>
                        <a:sp>
                          <a:nvSpPr>
                            <a:cNvPr id="31769" name="Oval 6"/>
                            <a:cNvSpPr>
                              <a:spLocks noChangeArrowheads="1"/>
                            </a:cNvSpPr>
                          </a:nvSpPr>
                          <a:spPr bwMode="auto">
                            <a:xfrm>
                              <a:off x="2819400" y="2971800"/>
                              <a:ext cx="1212850" cy="685800"/>
                            </a:xfrm>
                            <a:prstGeom prst="ellipse">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smtClean="0"/>
                                  <a:t>3: Labels </a:t>
                                </a:r>
                                <a:r>
                                  <a:rPr lang="en-US" sz="1000" dirty="0"/>
                                  <a:t>are unreliable?</a:t>
                                </a:r>
                              </a:p>
                            </a:txBody>
                            <a:useSpRect/>
                          </a:txSp>
                        </a:sp>
                        <a:sp>
                          <a:nvSpPr>
                            <a:cNvPr id="31770" name="Line 4"/>
                            <a:cNvSpPr>
                              <a:spLocks noChangeShapeType="1"/>
                            </a:cNvSpPr>
                          </a:nvSpPr>
                          <a:spPr bwMode="auto">
                            <a:xfrm flipH="1">
                              <a:off x="2133600" y="2286000"/>
                              <a:ext cx="2514600" cy="7620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71" name="Oval 20"/>
                            <a:cNvSpPr>
                              <a:spLocks noChangeArrowheads="1"/>
                            </a:cNvSpPr>
                          </a:nvSpPr>
                          <a:spPr bwMode="auto">
                            <a:xfrm>
                              <a:off x="2971800" y="2667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N</a:t>
                                </a:r>
                              </a:p>
                            </a:txBody>
                            <a:useSpRect/>
                          </a:txSp>
                        </a:sp>
                        <a:sp>
                          <a:nvSpPr>
                            <a:cNvPr id="31772" name="Line 4"/>
                            <a:cNvSpPr>
                              <a:spLocks noChangeShapeType="1"/>
                            </a:cNvSpPr>
                          </a:nvSpPr>
                          <a:spPr bwMode="auto">
                            <a:xfrm>
                              <a:off x="1752600" y="3657600"/>
                              <a:ext cx="0" cy="3048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73" name="Oval 12"/>
                            <a:cNvSpPr>
                              <a:spLocks noChangeArrowheads="1"/>
                            </a:cNvSpPr>
                          </a:nvSpPr>
                          <a:spPr bwMode="auto">
                            <a:xfrm>
                              <a:off x="1600200" y="37338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Y</a:t>
                                </a:r>
                              </a:p>
                            </a:txBody>
                            <a:useSpRect/>
                          </a:txSp>
                        </a:sp>
                        <a:sp>
                          <a:nvSpPr>
                            <a:cNvPr id="31774" name="Line 4"/>
                            <a:cNvSpPr>
                              <a:spLocks noChangeShapeType="1"/>
                            </a:cNvSpPr>
                          </a:nvSpPr>
                          <a:spPr bwMode="auto">
                            <a:xfrm>
                              <a:off x="1371600" y="4572000"/>
                              <a:ext cx="0" cy="4572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75" name="Oval 20"/>
                            <a:cNvSpPr>
                              <a:spLocks noChangeArrowheads="1"/>
                            </a:cNvSpPr>
                          </a:nvSpPr>
                          <a:spPr bwMode="auto">
                            <a:xfrm>
                              <a:off x="1219200" y="47244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N</a:t>
                                </a:r>
                              </a:p>
                            </a:txBody>
                            <a:useSpRect/>
                          </a:txSp>
                        </a:sp>
                        <a:sp>
                          <a:nvSpPr>
                            <a:cNvPr id="31776" name="AutoShape 28"/>
                            <a:cNvSpPr>
                              <a:spLocks noChangeArrowheads="1"/>
                            </a:cNvSpPr>
                          </a:nvSpPr>
                          <a:spPr bwMode="auto">
                            <a:xfrm>
                              <a:off x="7162800" y="2057400"/>
                              <a:ext cx="762000" cy="381000"/>
                            </a:xfrm>
                            <a:prstGeom prst="roundRect">
                              <a:avLst>
                                <a:gd name="adj" fmla="val 16667"/>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solidFill>
                                      <a:srgbClr val="3337CD"/>
                                    </a:solidFill>
                                  </a:rPr>
                                  <a:t>Markets working</a:t>
                                </a:r>
                              </a:p>
                            </a:txBody>
                            <a:useSpRect/>
                          </a:txSp>
                        </a:sp>
                        <a:sp>
                          <a:nvSpPr>
                            <a:cNvPr id="31777" name="Line 4"/>
                            <a:cNvSpPr>
                              <a:spLocks noChangeShapeType="1"/>
                            </a:cNvSpPr>
                          </a:nvSpPr>
                          <a:spPr bwMode="auto">
                            <a:xfrm>
                              <a:off x="2209800" y="4572000"/>
                              <a:ext cx="0" cy="6096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78" name="Oval 12"/>
                            <a:cNvSpPr>
                              <a:spLocks noChangeArrowheads="1"/>
                            </a:cNvSpPr>
                          </a:nvSpPr>
                          <a:spPr bwMode="auto">
                            <a:xfrm>
                              <a:off x="2057400" y="47244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Y</a:t>
                                </a:r>
                              </a:p>
                            </a:txBody>
                            <a:useSpRect/>
                          </a:txSp>
                        </a:sp>
                        <a:sp>
                          <a:nvSpPr>
                            <a:cNvPr id="31779" name="AutoShape 28"/>
                            <a:cNvSpPr>
                              <a:spLocks noChangeArrowheads="1"/>
                            </a:cNvSpPr>
                          </a:nvSpPr>
                          <a:spPr bwMode="auto">
                            <a:xfrm>
                              <a:off x="1828800" y="5181600"/>
                              <a:ext cx="2362200" cy="914400"/>
                            </a:xfrm>
                            <a:prstGeom prst="roundRect">
                              <a:avLst>
                                <a:gd name="adj" fmla="val 16667"/>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a:solidFill>
                                      <a:srgbClr val="3337CD"/>
                                    </a:solidFill>
                                  </a:rPr>
                                  <a:t>Encourage/Promote AW friendly ‘consumption clubs’ </a:t>
                                </a:r>
                              </a:p>
                              <a:p>
                                <a:pPr algn="ctr"/>
                                <a:r>
                                  <a:rPr lang="en-US" sz="1000" dirty="0" smtClean="0">
                                    <a:solidFill>
                                      <a:srgbClr val="3337CD"/>
                                    </a:solidFill>
                                  </a:rPr>
                                  <a:t>OR, as a last resort,  </a:t>
                                </a:r>
                                <a:r>
                                  <a:rPr lang="en-US" sz="1000" dirty="0" err="1">
                                    <a:solidFill>
                                      <a:srgbClr val="3337CD"/>
                                    </a:solidFill>
                                  </a:rPr>
                                  <a:t>s</a:t>
                                </a:r>
                                <a:r>
                                  <a:rPr lang="en-US" sz="1000" dirty="0" err="1" smtClean="0">
                                    <a:solidFill>
                                      <a:srgbClr val="3337CD"/>
                                    </a:solidFill>
                                  </a:rPr>
                                  <a:t>ubsidise</a:t>
                                </a:r>
                                <a:r>
                                  <a:rPr lang="en-US" sz="1000" dirty="0" smtClean="0">
                                    <a:solidFill>
                                      <a:srgbClr val="3337CD"/>
                                    </a:solidFill>
                                  </a:rPr>
                                  <a:t> </a:t>
                                </a:r>
                                <a:r>
                                  <a:rPr lang="en-US" sz="1000" dirty="0">
                                    <a:solidFill>
                                      <a:srgbClr val="3337CD"/>
                                    </a:solidFill>
                                  </a:rPr>
                                  <a:t>consumption of </a:t>
                                </a:r>
                                <a:r>
                                  <a:rPr lang="en-US" sz="1000" dirty="0" smtClean="0">
                                    <a:solidFill>
                                      <a:srgbClr val="3337CD"/>
                                    </a:solidFill>
                                  </a:rPr>
                                  <a:t>AW friendly products</a:t>
                                </a:r>
                                <a:endParaRPr lang="en-US" sz="1000" dirty="0">
                                  <a:solidFill>
                                    <a:srgbClr val="3337CD"/>
                                  </a:solidFill>
                                </a:endParaRPr>
                              </a:p>
                            </a:txBody>
                            <a:useSpRect/>
                          </a:txSp>
                        </a:sp>
                        <a:sp>
                          <a:nvSpPr>
                            <a:cNvPr id="31780" name="Line 4"/>
                            <a:cNvSpPr>
                              <a:spLocks noChangeShapeType="1"/>
                            </a:cNvSpPr>
                          </a:nvSpPr>
                          <a:spPr bwMode="auto">
                            <a:xfrm>
                              <a:off x="3429000" y="3657600"/>
                              <a:ext cx="0" cy="6096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81" name="Oval 12"/>
                            <a:cNvSpPr>
                              <a:spLocks noChangeArrowheads="1"/>
                            </a:cNvSpPr>
                          </a:nvSpPr>
                          <a:spPr bwMode="auto">
                            <a:xfrm>
                              <a:off x="3276600" y="3810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Y</a:t>
                                </a:r>
                              </a:p>
                            </a:txBody>
                            <a:useSpRect/>
                          </a:txSp>
                        </a:sp>
                        <a:sp>
                          <a:nvSpPr>
                            <a:cNvPr id="31782" name="AutoShape 28"/>
                            <a:cNvSpPr>
                              <a:spLocks noChangeArrowheads="1"/>
                            </a:cNvSpPr>
                          </a:nvSpPr>
                          <a:spPr bwMode="auto">
                            <a:xfrm>
                              <a:off x="2743200" y="4267200"/>
                              <a:ext cx="1524000" cy="609600"/>
                            </a:xfrm>
                            <a:prstGeom prst="roundRect">
                              <a:avLst>
                                <a:gd name="adj" fmla="val 16667"/>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a:solidFill>
                                      <a:srgbClr val="3337CD"/>
                                    </a:solidFill>
                                  </a:rPr>
                                  <a:t>Introduce/improve 3</a:t>
                                </a:r>
                                <a:r>
                                  <a:rPr lang="en-US" sz="1000" baseline="30000" dirty="0">
                                    <a:solidFill>
                                      <a:srgbClr val="3337CD"/>
                                    </a:solidFill>
                                  </a:rPr>
                                  <a:t>rd</a:t>
                                </a:r>
                                <a:r>
                                  <a:rPr lang="en-US" sz="1000" dirty="0">
                                    <a:solidFill>
                                      <a:srgbClr val="3337CD"/>
                                    </a:solidFill>
                                  </a:rPr>
                                  <a:t> party validation of </a:t>
                                </a:r>
                                <a:r>
                                  <a:rPr lang="en-US" sz="1000" dirty="0" smtClean="0">
                                    <a:solidFill>
                                      <a:srgbClr val="3337CD"/>
                                    </a:solidFill>
                                  </a:rPr>
                                  <a:t>standards &amp; labels</a:t>
                                </a:r>
                                <a:endParaRPr lang="en-US" sz="1000" dirty="0">
                                  <a:solidFill>
                                    <a:srgbClr val="3337CD"/>
                                  </a:solidFill>
                                </a:endParaRPr>
                              </a:p>
                            </a:txBody>
                            <a:useSpRect/>
                          </a:txSp>
                        </a:sp>
                        <a:sp>
                          <a:nvSpPr>
                            <a:cNvPr id="31783" name="Line 4"/>
                            <a:cNvSpPr>
                              <a:spLocks noChangeShapeType="1"/>
                            </a:cNvSpPr>
                          </a:nvSpPr>
                          <a:spPr bwMode="auto">
                            <a:xfrm>
                              <a:off x="5257800" y="3657600"/>
                              <a:ext cx="0" cy="6096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84" name="Oval 12"/>
                            <a:cNvSpPr>
                              <a:spLocks noChangeArrowheads="1"/>
                            </a:cNvSpPr>
                          </a:nvSpPr>
                          <a:spPr bwMode="auto">
                            <a:xfrm>
                              <a:off x="5105400" y="3810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Y</a:t>
                                </a:r>
                              </a:p>
                            </a:txBody>
                            <a:useSpRect/>
                          </a:txSp>
                        </a:sp>
                        <a:sp>
                          <a:nvSpPr>
                            <a:cNvPr id="31785" name="AutoShape 28"/>
                            <a:cNvSpPr>
                              <a:spLocks noChangeArrowheads="1"/>
                            </a:cNvSpPr>
                          </a:nvSpPr>
                          <a:spPr bwMode="auto">
                            <a:xfrm>
                              <a:off x="4419600" y="4267200"/>
                              <a:ext cx="1828800" cy="609600"/>
                            </a:xfrm>
                            <a:prstGeom prst="roundRect">
                              <a:avLst>
                                <a:gd name="adj" fmla="val 16667"/>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solidFill>
                                      <a:srgbClr val="3337CD"/>
                                    </a:solidFill>
                                  </a:rPr>
                                  <a:t>Improve information &amp; Communication systems</a:t>
                                </a:r>
                              </a:p>
                            </a:txBody>
                            <a:useSpRect/>
                          </a:txSp>
                        </a:sp>
                        <a:sp>
                          <a:nvSpPr>
                            <a:cNvPr id="31786" name="AutoShape 28"/>
                            <a:cNvSpPr>
                              <a:spLocks noChangeArrowheads="1"/>
                            </a:cNvSpPr>
                          </a:nvSpPr>
                          <a:spPr bwMode="auto">
                            <a:xfrm>
                              <a:off x="6553200" y="4267200"/>
                              <a:ext cx="762000" cy="381000"/>
                            </a:xfrm>
                            <a:prstGeom prst="roundRect">
                              <a:avLst>
                                <a:gd name="adj" fmla="val 16667"/>
                              </a:avLst>
                            </a:prstGeom>
                            <a:noFill/>
                            <a:ln w="9525">
                              <a:solidFill>
                                <a:schemeClr val="tx1"/>
                              </a:solidFill>
                              <a:round/>
                              <a:headEnd/>
                              <a:tailEnd/>
                            </a:ln>
                          </a:spPr>
                          <a:txSp>
                            <a:txBody>
                              <a:bodyPr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solidFill>
                                      <a:srgbClr val="3337CD"/>
                                    </a:solidFill>
                                  </a:rPr>
                                  <a:t>Markets working</a:t>
                                </a:r>
                              </a:p>
                            </a:txBody>
                            <a:useSpRect/>
                          </a:txSp>
                        </a:sp>
                        <a:sp>
                          <a:nvSpPr>
                            <a:cNvPr id="31787" name="Line 4"/>
                            <a:cNvSpPr>
                              <a:spLocks noChangeShapeType="1"/>
                            </a:cNvSpPr>
                          </a:nvSpPr>
                          <a:spPr bwMode="auto">
                            <a:xfrm>
                              <a:off x="6934200" y="3657600"/>
                              <a:ext cx="0" cy="6096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31788" name="Oval 12"/>
                            <a:cNvSpPr>
                              <a:spLocks noChangeArrowheads="1"/>
                            </a:cNvSpPr>
                          </a:nvSpPr>
                          <a:spPr bwMode="auto">
                            <a:xfrm>
                              <a:off x="6781800" y="3810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Y</a:t>
                                </a:r>
                              </a:p>
                            </a:txBody>
                            <a:useSpRect/>
                          </a:txSp>
                        </a:sp>
                        <a:sp>
                          <a:nvSpPr>
                            <a:cNvPr id="45" name="Line 4"/>
                            <a:cNvSpPr>
                              <a:spLocks noChangeShapeType="1"/>
                            </a:cNvSpPr>
                          </a:nvSpPr>
                          <a:spPr bwMode="auto">
                            <a:xfrm>
                              <a:off x="5943600" y="2209800"/>
                              <a:ext cx="2133600" cy="8382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46" name="Oval 20"/>
                            <a:cNvSpPr>
                              <a:spLocks noChangeArrowheads="1"/>
                            </a:cNvSpPr>
                          </a:nvSpPr>
                          <a:spPr bwMode="auto">
                            <a:xfrm>
                              <a:off x="7162800" y="2667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dirty="0"/>
                                  <a:t>N</a:t>
                                </a:r>
                              </a:p>
                            </a:txBody>
                            <a:useSpRect/>
                          </a:txSp>
                        </a:sp>
                        <a:sp>
                          <a:nvSpPr>
                            <a:cNvPr id="49" name="Line 4"/>
                            <a:cNvSpPr>
                              <a:spLocks noChangeShapeType="1"/>
                            </a:cNvSpPr>
                          </a:nvSpPr>
                          <a:spPr bwMode="auto">
                            <a:xfrm>
                              <a:off x="8534400" y="3657600"/>
                              <a:ext cx="0" cy="6096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50" name="Oval 12"/>
                            <a:cNvSpPr>
                              <a:spLocks noChangeArrowheads="1"/>
                            </a:cNvSpPr>
                          </a:nvSpPr>
                          <a:spPr bwMode="auto">
                            <a:xfrm>
                              <a:off x="8382000" y="3810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Y</a:t>
                                </a:r>
                              </a:p>
                            </a:txBody>
                            <a:useSpRect/>
                          </a:txSp>
                        </a:sp>
                        <a:sp>
                          <a:nvSpPr>
                            <a:cNvPr id="51" name="Line 4"/>
                            <a:cNvSpPr>
                              <a:spLocks noChangeShapeType="1"/>
                            </a:cNvSpPr>
                          </a:nvSpPr>
                          <a:spPr bwMode="auto">
                            <a:xfrm flipH="1">
                              <a:off x="5715000" y="3429000"/>
                              <a:ext cx="609600" cy="838200"/>
                            </a:xfrm>
                            <a:prstGeom prst="line">
                              <a:avLst/>
                            </a:prstGeom>
                            <a:noFill/>
                            <a:ln w="9525">
                              <a:solidFill>
                                <a:schemeClr val="tx1"/>
                              </a:solidFill>
                              <a:round/>
                              <a:headEnd/>
                              <a:tailEnd type="triangle" w="med" len="med"/>
                            </a:ln>
                          </a:spPr>
                          <a:txSp>
                            <a:txBody>
                              <a:bodyP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endParaRPr lang="en-US"/>
                              </a:p>
                            </a:txBody>
                            <a:useSpRect/>
                          </a:txSp>
                        </a:sp>
                        <a:sp>
                          <a:nvSpPr>
                            <a:cNvPr id="52" name="Oval 12"/>
                            <a:cNvSpPr>
                              <a:spLocks noChangeArrowheads="1"/>
                            </a:cNvSpPr>
                          </a:nvSpPr>
                          <a:spPr bwMode="auto">
                            <a:xfrm>
                              <a:off x="5867400" y="3810000"/>
                              <a:ext cx="287338" cy="144463"/>
                            </a:xfrm>
                            <a:prstGeom prst="ellipse">
                              <a:avLst/>
                            </a:prstGeom>
                            <a:solidFill>
                              <a:schemeClr val="bg1"/>
                            </a:solidFill>
                            <a:ln w="9525">
                              <a:solidFill>
                                <a:schemeClr val="tx1"/>
                              </a:solidFill>
                              <a:round/>
                              <a:headEnd/>
                              <a:tailEnd/>
                            </a:ln>
                          </a:spPr>
                          <a:txSp>
                            <a:txBody>
                              <a:bodyPr wrap="none" anchor="ctr">
                                <a:prstTxWarp prst="textNoShape">
                                  <a:avLst/>
                                </a:prstTxWarp>
                              </a:bodyPr>
                              <a:lstStyle>
                                <a:defPPr>
                                  <a:defRPr lang="en-US"/>
                                </a:defPPr>
                                <a:lvl1pPr algn="l" rtl="0" fontAlgn="base">
                                  <a:spcBef>
                                    <a:spcPct val="0"/>
                                  </a:spcBef>
                                  <a:spcAft>
                                    <a:spcPct val="0"/>
                                  </a:spcAft>
                                  <a:defRPr kern="1200">
                                    <a:solidFill>
                                      <a:schemeClr val="tx1"/>
                                    </a:solidFill>
                                    <a:latin typeface="Arial" charset="0"/>
                                    <a:ea typeface="ＭＳ Ｐゴシック" charset="-128"/>
                                    <a:cs typeface="ＭＳ Ｐゴシック" charset="-128"/>
                                  </a:defRPr>
                                </a:lvl1pPr>
                                <a:lvl2pPr marL="457200" algn="l" rtl="0" fontAlgn="base">
                                  <a:spcBef>
                                    <a:spcPct val="0"/>
                                  </a:spcBef>
                                  <a:spcAft>
                                    <a:spcPct val="0"/>
                                  </a:spcAft>
                                  <a:defRPr kern="1200">
                                    <a:solidFill>
                                      <a:schemeClr val="tx1"/>
                                    </a:solidFill>
                                    <a:latin typeface="Arial" charset="0"/>
                                    <a:ea typeface="ＭＳ Ｐゴシック" charset="-128"/>
                                    <a:cs typeface="ＭＳ Ｐゴシック" charset="-128"/>
                                  </a:defRPr>
                                </a:lvl2pPr>
                                <a:lvl3pPr marL="914400" algn="l" rtl="0" fontAlgn="base">
                                  <a:spcBef>
                                    <a:spcPct val="0"/>
                                  </a:spcBef>
                                  <a:spcAft>
                                    <a:spcPct val="0"/>
                                  </a:spcAft>
                                  <a:defRPr kern="1200">
                                    <a:solidFill>
                                      <a:schemeClr val="tx1"/>
                                    </a:solidFill>
                                    <a:latin typeface="Arial" charset="0"/>
                                    <a:ea typeface="ＭＳ Ｐゴシック" charset="-128"/>
                                    <a:cs typeface="ＭＳ Ｐゴシック" charset="-128"/>
                                  </a:defRPr>
                                </a:lvl3pPr>
                                <a:lvl4pPr marL="1371600" algn="l" rtl="0" fontAlgn="base">
                                  <a:spcBef>
                                    <a:spcPct val="0"/>
                                  </a:spcBef>
                                  <a:spcAft>
                                    <a:spcPct val="0"/>
                                  </a:spcAft>
                                  <a:defRPr kern="1200">
                                    <a:solidFill>
                                      <a:schemeClr val="tx1"/>
                                    </a:solidFill>
                                    <a:latin typeface="Arial" charset="0"/>
                                    <a:ea typeface="ＭＳ Ｐゴシック" charset="-128"/>
                                    <a:cs typeface="ＭＳ Ｐゴシック" charset="-128"/>
                                  </a:defRPr>
                                </a:lvl4pPr>
                                <a:lvl5pPr marL="1828800" algn="l" rtl="0" fontAlgn="base">
                                  <a:spcBef>
                                    <a:spcPct val="0"/>
                                  </a:spcBef>
                                  <a:spcAft>
                                    <a:spcPct val="0"/>
                                  </a:spcAft>
                                  <a:defRPr kern="1200">
                                    <a:solidFill>
                                      <a:schemeClr val="tx1"/>
                                    </a:solidFill>
                                    <a:latin typeface="Arial" charset="0"/>
                                    <a:ea typeface="ＭＳ Ｐゴシック" charset="-128"/>
                                    <a:cs typeface="ＭＳ Ｐゴシック" charset="-128"/>
                                  </a:defRPr>
                                </a:lvl5pPr>
                                <a:lvl6pPr marL="2286000" algn="l" defTabSz="457200" rtl="0" eaLnBrk="1" latinLnBrk="0" hangingPunct="1">
                                  <a:defRPr kern="1200">
                                    <a:solidFill>
                                      <a:schemeClr val="tx1"/>
                                    </a:solidFill>
                                    <a:latin typeface="Arial" charset="0"/>
                                    <a:ea typeface="ＭＳ Ｐゴシック" charset="-128"/>
                                    <a:cs typeface="ＭＳ Ｐゴシック" charset="-128"/>
                                  </a:defRPr>
                                </a:lvl6pPr>
                                <a:lvl7pPr marL="2743200" algn="l" defTabSz="457200" rtl="0" eaLnBrk="1" latinLnBrk="0" hangingPunct="1">
                                  <a:defRPr kern="1200">
                                    <a:solidFill>
                                      <a:schemeClr val="tx1"/>
                                    </a:solidFill>
                                    <a:latin typeface="Arial" charset="0"/>
                                    <a:ea typeface="ＭＳ Ｐゴシック" charset="-128"/>
                                    <a:cs typeface="ＭＳ Ｐゴシック" charset="-128"/>
                                  </a:defRPr>
                                </a:lvl7pPr>
                                <a:lvl8pPr marL="3200400" algn="l" defTabSz="457200" rtl="0" eaLnBrk="1" latinLnBrk="0" hangingPunct="1">
                                  <a:defRPr kern="1200">
                                    <a:solidFill>
                                      <a:schemeClr val="tx1"/>
                                    </a:solidFill>
                                    <a:latin typeface="Arial" charset="0"/>
                                    <a:ea typeface="ＭＳ Ｐゴシック" charset="-128"/>
                                    <a:cs typeface="ＭＳ Ｐゴシック" charset="-128"/>
                                  </a:defRPr>
                                </a:lvl8pPr>
                                <a:lvl9pPr marL="3657600" algn="l" defTabSz="457200" rtl="0" eaLnBrk="1" latinLnBrk="0" hangingPunct="1">
                                  <a:defRPr kern="1200">
                                    <a:solidFill>
                                      <a:schemeClr val="tx1"/>
                                    </a:solidFill>
                                    <a:latin typeface="Arial" charset="0"/>
                                    <a:ea typeface="ＭＳ Ｐゴシック" charset="-128"/>
                                    <a:cs typeface="ＭＳ Ｐゴシック" charset="-128"/>
                                  </a:defRPr>
                                </a:lvl9pPr>
                              </a:lstStyle>
                              <a:p>
                                <a:pPr algn="ctr"/>
                                <a:r>
                                  <a:rPr lang="en-US" sz="1000"/>
                                  <a:t>Y</a:t>
                                </a:r>
                              </a:p>
                            </a:txBody>
                            <a:useSpRect/>
                          </a:txSp>
                        </a:sp>
                      </a:grpSp>
                    </a:grpSp>
                  </a:grpSp>
                </lc:lockedCanvas>
              </a:graphicData>
            </a:graphic>
          </wp:inline>
        </w:drawing>
      </w:r>
    </w:p>
    <w:p w:rsidR="006D0CE6" w:rsidRDefault="006D0CE6" w:rsidP="006D0CE6">
      <w:pPr>
        <w:spacing w:after="200" w:line="220" w:lineRule="atLeast"/>
      </w:pPr>
      <w:r>
        <w:t>In total (summed over the relevant population) the shortfall between peoples’ willingness to pay on their own account, and the amounts they would be willing to pay if they were convinced that their own spending was also matched by others, can be termed the ‘</w:t>
      </w:r>
      <w:r w:rsidRPr="00D22AE1">
        <w:rPr>
          <w:i/>
        </w:rPr>
        <w:t>free-rider deficit</w:t>
      </w:r>
      <w:r>
        <w:t xml:space="preserve">’. In principle, if this deficit </w:t>
      </w:r>
      <w:proofErr w:type="gramStart"/>
      <w:r>
        <w:t>is</w:t>
      </w:r>
      <w:proofErr w:type="gramEnd"/>
      <w:r>
        <w:t xml:space="preserve"> greater than the amount necessary to encourage the supply or marketing chain to deliver the associated improvement in animal welfare (the ‘</w:t>
      </w:r>
      <w:r w:rsidRPr="00D22AE1">
        <w:rPr>
          <w:i/>
        </w:rPr>
        <w:t>market deficit</w:t>
      </w:r>
      <w:r>
        <w:t>’), then society would be better off if the free-rider problem could be solved. If the free-rider deficit is not greater than the market deficit, then although there is a potential free rider problem, it does not result in any market failure – society would not be better off by ‘solving’ the problem – the costs of doing so would outweigh the benefits.</w:t>
      </w:r>
    </w:p>
    <w:p w:rsidR="006D0CE6" w:rsidRDefault="006D0CE6" w:rsidP="005831C4">
      <w:pPr>
        <w:spacing w:after="200" w:line="220" w:lineRule="atLeast"/>
        <w:rPr>
          <w:szCs w:val="20"/>
        </w:rPr>
      </w:pPr>
      <w:r>
        <w:t xml:space="preserve">In practice, it is observed (e.g. </w:t>
      </w:r>
      <w:proofErr w:type="spellStart"/>
      <w:r>
        <w:t>Verbeke</w:t>
      </w:r>
      <w:proofErr w:type="spellEnd"/>
      <w:r>
        <w:t>, 2010) that some people do appreciate the social pressures and norms encouraging them to spend their own money on improving animal welfare – hence both implicitly recognising and also dealing with the free-rider problem. “</w:t>
      </w:r>
      <w:r w:rsidRPr="006F7E03">
        <w:rPr>
          <w:i/>
          <w:szCs w:val="20"/>
        </w:rPr>
        <w:t>Some consumers reported a strong intention of purchasing sustainable dairy products, despite weak personal attitudes towards them. The explanation was found in those consumer’s social environments, where social pressure from peers acted as a purchasing motive. However, growing numbers of consumers are translating their citizen interest in animal welfare into purchasing intentions</w:t>
      </w:r>
      <w:r>
        <w:rPr>
          <w:i/>
          <w:szCs w:val="20"/>
        </w:rPr>
        <w:t xml:space="preserve">” </w:t>
      </w:r>
      <w:r>
        <w:rPr>
          <w:szCs w:val="20"/>
        </w:rPr>
        <w:t>(</w:t>
      </w:r>
      <w:r w:rsidRPr="00F753CB">
        <w:rPr>
          <w:i/>
          <w:szCs w:val="20"/>
        </w:rPr>
        <w:t>ibid</w:t>
      </w:r>
      <w:r>
        <w:rPr>
          <w:szCs w:val="20"/>
        </w:rPr>
        <w:t xml:space="preserve">. </w:t>
      </w:r>
      <w:r w:rsidRPr="00F753CB">
        <w:rPr>
          <w:szCs w:val="20"/>
        </w:rPr>
        <w:t>p</w:t>
      </w:r>
      <w:r>
        <w:rPr>
          <w:szCs w:val="20"/>
        </w:rPr>
        <w:t xml:space="preserve"> 327). In effect, these people consider themselves part of a club or society in which the social pressures and norms are sufficient to persuade them to conform in spite of, rather than because of, their own self-interests. As societies spend more time and effort considering the present state of and possibilities for improving animal welfare, so people become more aware of the issues and more likely to respond to growing social pressures to support efforts to improve animal welfare. This ‘involvement’ of consumers with the products and their provenance, either directly or indirectly through social norms, can be improved, for some segments of the market, by improved communication and information, which effectively encourage people to join the ‘virtual’ clubs of those concerned about animal welfare. In short, simple economics, which assumes everyone is purely self-interested and rational, suggests that the free-rider problem could be substantial. In the real world, in which very few are simple </w:t>
      </w:r>
      <w:proofErr w:type="spellStart"/>
      <w:r w:rsidRPr="00FA5CC0">
        <w:rPr>
          <w:i/>
          <w:szCs w:val="20"/>
        </w:rPr>
        <w:t>homus</w:t>
      </w:r>
      <w:proofErr w:type="spellEnd"/>
      <w:r w:rsidRPr="00FA5CC0">
        <w:rPr>
          <w:i/>
          <w:szCs w:val="20"/>
        </w:rPr>
        <w:t xml:space="preserve"> </w:t>
      </w:r>
      <w:proofErr w:type="spellStart"/>
      <w:r w:rsidRPr="00FA5CC0">
        <w:rPr>
          <w:i/>
          <w:szCs w:val="20"/>
        </w:rPr>
        <w:t>economicus</w:t>
      </w:r>
      <w:proofErr w:type="spellEnd"/>
      <w:r>
        <w:rPr>
          <w:szCs w:val="20"/>
        </w:rPr>
        <w:t>, and in which many are responsive to their peers and social norms, the free-rider problem may not be as significant. Social norms and values can certainly be cultivated and encouraged through active debate and provision of objective, disinterested information and validation services, which need to be provided through collective and collaborative action (governance), if not at public expense.</w:t>
      </w:r>
    </w:p>
    <w:p w:rsidR="00E528D2" w:rsidRDefault="00C8215F" w:rsidP="005831C4">
      <w:pPr>
        <w:spacing w:after="200" w:line="220" w:lineRule="atLeast"/>
        <w:rPr>
          <w:rFonts w:cs="Helvetica"/>
          <w:szCs w:val="22"/>
          <w:u w:color="0018EA"/>
        </w:rPr>
      </w:pPr>
      <w:r>
        <w:rPr>
          <w:szCs w:val="20"/>
        </w:rPr>
        <w:t xml:space="preserve">Actually measuring </w:t>
      </w:r>
      <w:r w:rsidR="00E528D2">
        <w:rPr>
          <w:szCs w:val="20"/>
        </w:rPr>
        <w:t xml:space="preserve">the free-rider deficit is fraught with serious, if not overwhelming, difficulty. It necessarily involves measuring willingness to pay as a pre-condition, and subsequently identifying the differences between this estimate with and without the condition that others are also both willing to and actually do pay their ‘share’. Since the questions eliciting peoples’ WTP are necessarily hypothetical – applying to conditions and circumstances which do not presently exist – the answers are always subject to hypothetical bias – people do not actually do what they say they will do, because ‘other things are not (and never are) equal’. Some analysts have gone so far as to argue that this hypothetical bias is sufficiently strong as to render all such ‘contingent valuation’ exercises effectively meaningless (e.g. Diamond and </w:t>
      </w:r>
      <w:proofErr w:type="spellStart"/>
      <w:r w:rsidR="00E528D2">
        <w:rPr>
          <w:szCs w:val="20"/>
        </w:rPr>
        <w:t>Hauseman</w:t>
      </w:r>
      <w:proofErr w:type="spellEnd"/>
      <w:r w:rsidR="00E528D2">
        <w:rPr>
          <w:szCs w:val="20"/>
        </w:rPr>
        <w:t xml:space="preserve">, 1994). Others, e.g. Blamey </w:t>
      </w:r>
      <w:r w:rsidR="00E528D2">
        <w:rPr>
          <w:i/>
          <w:szCs w:val="20"/>
        </w:rPr>
        <w:t>et al.</w:t>
      </w:r>
      <w:r w:rsidR="00E528D2">
        <w:rPr>
          <w:szCs w:val="20"/>
        </w:rPr>
        <w:t xml:space="preserve">, 1995, argue that people express different preferences for public (or club) goods than for private (normal) goods, and that the two sorts of preferences (and the associated decisions) are necessarily and conceptually distinct and non-commensurate – termed the ‘citizen hypothesis’. However, Curtis and McConnell </w:t>
      </w:r>
      <w:r w:rsidR="00282B87">
        <w:rPr>
          <w:szCs w:val="20"/>
        </w:rPr>
        <w:t>(</w:t>
      </w:r>
      <w:r w:rsidR="00E528D2">
        <w:rPr>
          <w:szCs w:val="20"/>
        </w:rPr>
        <w:t>2002</w:t>
      </w:r>
      <w:r w:rsidR="00282B87">
        <w:rPr>
          <w:szCs w:val="20"/>
        </w:rPr>
        <w:t>)</w:t>
      </w:r>
      <w:r w:rsidR="00E528D2">
        <w:rPr>
          <w:szCs w:val="20"/>
        </w:rPr>
        <w:t xml:space="preserve"> using data involving preferences for deer culling programmes in the US, demonstrate that the citizen hypothesis is </w:t>
      </w:r>
      <w:r w:rsidR="00E528D2" w:rsidRPr="006E224D">
        <w:rPr>
          <w:szCs w:val="20"/>
          <w:u w:val="single"/>
        </w:rPr>
        <w:t>observationally equivalent</w:t>
      </w:r>
      <w:r w:rsidR="00E528D2">
        <w:rPr>
          <w:szCs w:val="20"/>
        </w:rPr>
        <w:t xml:space="preserve"> to the ‘standard’ self-interested hypothesis augmented to include altruism. As Curtis and McConnell (</w:t>
      </w:r>
      <w:r w:rsidR="00E528D2">
        <w:rPr>
          <w:i/>
          <w:szCs w:val="20"/>
        </w:rPr>
        <w:t>ibid</w:t>
      </w:r>
      <w:r w:rsidR="00E528D2">
        <w:rPr>
          <w:szCs w:val="20"/>
        </w:rPr>
        <w:t>) note: “</w:t>
      </w:r>
      <w:r w:rsidR="00E528D2" w:rsidRPr="00E528D2">
        <w:rPr>
          <w:rFonts w:cs="Helvetica"/>
          <w:i/>
          <w:szCs w:val="22"/>
          <w:u w:color="0018EA"/>
        </w:rPr>
        <w:t>The citizen hypothesis is not empirically testable</w:t>
      </w:r>
      <w:r w:rsidR="00E528D2">
        <w:rPr>
          <w:rFonts w:cs="Helvetica"/>
          <w:i/>
          <w:szCs w:val="22"/>
          <w:u w:color="0018EA"/>
        </w:rPr>
        <w:t>.</w:t>
      </w:r>
      <w:r w:rsidR="00E528D2" w:rsidRPr="00E528D2">
        <w:rPr>
          <w:rFonts w:cs="Helvetica"/>
          <w:i/>
          <w:szCs w:val="22"/>
          <w:u w:color="0018EA"/>
        </w:rPr>
        <w:t xml:space="preserve"> </w:t>
      </w:r>
      <w:r w:rsidR="00E528D2">
        <w:rPr>
          <w:rFonts w:cs="Helvetica"/>
          <w:i/>
          <w:szCs w:val="22"/>
          <w:u w:color="0018EA"/>
        </w:rPr>
        <w:t>It</w:t>
      </w:r>
      <w:r w:rsidR="00E528D2" w:rsidRPr="00E528D2">
        <w:rPr>
          <w:rFonts w:cs="Helvetica"/>
          <w:i/>
          <w:szCs w:val="22"/>
          <w:u w:color="0018EA"/>
        </w:rPr>
        <w:t xml:space="preserve"> is a maintained hypothesis because the citizen hypothesis concerns the individuals' underlying motives and these motives are never conclusively revealed in actual behaviour or survey responses</w:t>
      </w:r>
      <w:r w:rsidR="00E528D2">
        <w:rPr>
          <w:rFonts w:cs="Helvetica"/>
          <w:szCs w:val="22"/>
          <w:u w:color="0018EA"/>
        </w:rPr>
        <w:t xml:space="preserve"> (p 72).</w:t>
      </w:r>
    </w:p>
    <w:p w:rsidR="00E528D2" w:rsidRDefault="00E528D2" w:rsidP="005831C4">
      <w:pPr>
        <w:spacing w:after="200" w:line="220" w:lineRule="atLeast"/>
        <w:rPr>
          <w:rFonts w:cs="Helvetica"/>
          <w:szCs w:val="22"/>
          <w:u w:color="0018EA"/>
        </w:rPr>
      </w:pPr>
      <w:r>
        <w:rPr>
          <w:rFonts w:cs="Helvetica"/>
          <w:szCs w:val="22"/>
          <w:u w:color="0018EA"/>
        </w:rPr>
        <w:t>These authors go on to note that: “</w:t>
      </w:r>
      <w:r w:rsidRPr="00E528D2">
        <w:rPr>
          <w:rFonts w:cs="Helvetica"/>
          <w:i/>
          <w:szCs w:val="22"/>
          <w:u w:color="0018EA"/>
        </w:rPr>
        <w:t>The impetus for the eco-labelling movement comes from the potential for individuals to combine their preferences for private and public goods. The consumption of all market goods has implications for the community, be it through employment, government services, morals or some other avenue. Altruistic motives provide a rational explanation of why self-interested people make choices that appear to be more beneficial to the community than to the individual. At least in the case we have studied, there is no difference in the WTP for respondents who could be reasonably classified as citizens and consumers</w:t>
      </w:r>
      <w:r w:rsidRPr="00E528D2">
        <w:rPr>
          <w:rFonts w:cs="Helvetica"/>
          <w:szCs w:val="22"/>
          <w:u w:color="0018EA"/>
        </w:rPr>
        <w:t>" (</w:t>
      </w:r>
      <w:r>
        <w:rPr>
          <w:rFonts w:cs="Helvetica"/>
          <w:szCs w:val="22"/>
          <w:u w:color="0018EA"/>
        </w:rPr>
        <w:t xml:space="preserve">p </w:t>
      </w:r>
      <w:r w:rsidRPr="00E528D2">
        <w:rPr>
          <w:rFonts w:cs="Helvetica"/>
          <w:szCs w:val="22"/>
          <w:u w:color="0018EA"/>
        </w:rPr>
        <w:t>81/2)</w:t>
      </w:r>
      <w:r>
        <w:rPr>
          <w:rStyle w:val="FootnoteReference"/>
          <w:szCs w:val="22"/>
          <w:u w:color="0018EA"/>
        </w:rPr>
        <w:footnoteReference w:id="8"/>
      </w:r>
      <w:r>
        <w:rPr>
          <w:rFonts w:cs="Helvetica"/>
          <w:szCs w:val="22"/>
          <w:u w:color="0018EA"/>
        </w:rPr>
        <w:t>.</w:t>
      </w:r>
    </w:p>
    <w:p w:rsidR="001141DE" w:rsidRDefault="00E528D2" w:rsidP="005831C4">
      <w:pPr>
        <w:spacing w:after="200" w:line="220" w:lineRule="atLeast"/>
        <w:rPr>
          <w:szCs w:val="20"/>
        </w:rPr>
      </w:pPr>
      <w:r>
        <w:rPr>
          <w:szCs w:val="20"/>
        </w:rPr>
        <w:t>W</w:t>
      </w:r>
      <w:r w:rsidR="00F2052A">
        <w:rPr>
          <w:szCs w:val="20"/>
        </w:rPr>
        <w:t>hether or not any substantial free-rider problem actually exists for animal welfare in Europe</w:t>
      </w:r>
      <w:r>
        <w:rPr>
          <w:szCs w:val="20"/>
        </w:rPr>
        <w:t xml:space="preserve"> cannot simply be inferred from a difference between attitudes in favour of animal welfare and actual purchases of animal friendly products. The citizen-consumer gap also </w:t>
      </w:r>
      <w:r w:rsidR="00F2052A">
        <w:rPr>
          <w:szCs w:val="20"/>
        </w:rPr>
        <w:t>depends on the other reasons why citizens’ ‘voting’ (attitudes) in favour of improved animal welfare are not matched by their purchases as consumers. The third reason</w:t>
      </w:r>
      <w:r w:rsidR="006E224D">
        <w:rPr>
          <w:szCs w:val="20"/>
        </w:rPr>
        <w:t xml:space="preserve"> (Figure 2)</w:t>
      </w:r>
      <w:r w:rsidR="00F2052A">
        <w:rPr>
          <w:szCs w:val="20"/>
        </w:rPr>
        <w:t xml:space="preserve"> </w:t>
      </w:r>
      <w:r w:rsidR="00FA5CC0">
        <w:rPr>
          <w:szCs w:val="20"/>
        </w:rPr>
        <w:t>is</w:t>
      </w:r>
      <w:r w:rsidR="00F2052A">
        <w:rPr>
          <w:szCs w:val="20"/>
        </w:rPr>
        <w:t xml:space="preserve"> that the labelling of animal welfare friendly products is not sufficiently</w:t>
      </w:r>
      <w:r w:rsidR="00FA5CC0">
        <w:rPr>
          <w:szCs w:val="20"/>
        </w:rPr>
        <w:t xml:space="preserve"> obvious or</w:t>
      </w:r>
      <w:r w:rsidR="00F2052A">
        <w:rPr>
          <w:szCs w:val="20"/>
        </w:rPr>
        <w:t xml:space="preserve"> reliable to </w:t>
      </w:r>
      <w:r w:rsidR="00FA5CC0">
        <w:rPr>
          <w:szCs w:val="20"/>
        </w:rPr>
        <w:t xml:space="preserve">attract consumers or to </w:t>
      </w:r>
      <w:r w:rsidR="00F2052A">
        <w:rPr>
          <w:szCs w:val="20"/>
        </w:rPr>
        <w:t xml:space="preserve">convince </w:t>
      </w:r>
      <w:r w:rsidR="00FA5CC0">
        <w:rPr>
          <w:szCs w:val="20"/>
        </w:rPr>
        <w:t>them</w:t>
      </w:r>
      <w:r w:rsidR="00F2052A">
        <w:rPr>
          <w:szCs w:val="20"/>
        </w:rPr>
        <w:t xml:space="preserve"> that their additional spending will have the desired effect of encouraging improved welfare. The fourth reason is closely related - that the information available to consumers about animal welfare and the improved standards used in producing some products is insufficient</w:t>
      </w:r>
      <w:r w:rsidR="00FA5CC0">
        <w:rPr>
          <w:szCs w:val="20"/>
        </w:rPr>
        <w:t xml:space="preserve"> (or too contradictory or confusing)</w:t>
      </w:r>
      <w:r w:rsidR="00F2052A">
        <w:rPr>
          <w:szCs w:val="20"/>
        </w:rPr>
        <w:t xml:space="preserve"> for them to make an informed choice.  </w:t>
      </w:r>
    </w:p>
    <w:p w:rsidR="00C8215F" w:rsidRDefault="00F2052A" w:rsidP="005831C4">
      <w:pPr>
        <w:spacing w:after="200" w:line="220" w:lineRule="atLeast"/>
        <w:rPr>
          <w:szCs w:val="17"/>
        </w:rPr>
      </w:pPr>
      <w:r>
        <w:rPr>
          <w:szCs w:val="20"/>
        </w:rPr>
        <w:t>The appropriate remedies for each condition are obvious</w:t>
      </w:r>
      <w:r w:rsidR="00C8215F">
        <w:rPr>
          <w:szCs w:val="20"/>
        </w:rPr>
        <w:t>: improve the provision of disinterested (o</w:t>
      </w:r>
      <w:r w:rsidR="00CF0D35">
        <w:rPr>
          <w:szCs w:val="20"/>
        </w:rPr>
        <w:t>bjective) information; use (dis</w:t>
      </w:r>
      <w:r w:rsidR="00C8215F">
        <w:rPr>
          <w:szCs w:val="20"/>
        </w:rPr>
        <w:t xml:space="preserve">interested) third party validation against proven standards; develop better and more reliable labelling procedures. </w:t>
      </w:r>
      <w:r w:rsidR="00C8215F">
        <w:t xml:space="preserve">The </w:t>
      </w:r>
      <w:hyperlink r:id="rId9" w:history="1">
        <w:r w:rsidR="00C8215F" w:rsidRPr="00CF0D35">
          <w:rPr>
            <w:rStyle w:val="Hyperlink"/>
            <w:i/>
          </w:rPr>
          <w:t>Welfare Quality</w:t>
        </w:r>
      </w:hyperlink>
      <w:r w:rsidR="00CF0D35">
        <w:rPr>
          <w:rStyle w:val="FootnoteReference"/>
          <w:i/>
        </w:rPr>
        <w:footnoteReference w:id="9"/>
      </w:r>
      <w:r w:rsidR="00C8215F">
        <w:t xml:space="preserve"> project has</w:t>
      </w:r>
      <w:r w:rsidR="00CF0D35">
        <w:t xml:space="preserve"> already</w:t>
      </w:r>
      <w:r w:rsidR="00C8215F">
        <w:t xml:space="preserve"> produced objective scientifically based parameters and </w:t>
      </w:r>
      <w:r w:rsidR="001833C9">
        <w:t>animal welfare</w:t>
      </w:r>
      <w:r w:rsidR="00C8215F">
        <w:t xml:space="preserve"> scales to judge animal welfare. The Commission asked for this objective instrument to enable and assist private actors to upgrade their </w:t>
      </w:r>
      <w:r w:rsidR="001833C9">
        <w:t>animal welfare</w:t>
      </w:r>
      <w:r w:rsidR="00C8215F">
        <w:t xml:space="preserve"> levels according to objective and reliable standards.</w:t>
      </w:r>
      <w:r w:rsidR="0091746D">
        <w:t xml:space="preserve"> As identified in D2.1 and 2.5, </w:t>
      </w:r>
      <w:r w:rsidR="0091746D">
        <w:rPr>
          <w:szCs w:val="17"/>
        </w:rPr>
        <w:t>c</w:t>
      </w:r>
      <w:r w:rsidR="0091746D" w:rsidRPr="0091746D">
        <w:rPr>
          <w:szCs w:val="17"/>
        </w:rPr>
        <w:t>onsumers</w:t>
      </w:r>
      <w:r w:rsidR="0091746D">
        <w:rPr>
          <w:rFonts w:ascii="Microsoft Sans Serif" w:hAnsi="Microsoft Sans Serif" w:cs="Microsoft Sans Serif"/>
          <w:szCs w:val="17"/>
        </w:rPr>
        <w:t>’</w:t>
      </w:r>
      <w:r w:rsidR="0091746D" w:rsidRPr="0091746D">
        <w:rPr>
          <w:szCs w:val="17"/>
        </w:rPr>
        <w:t xml:space="preserve"> organisations do not position animal welfare issues high on their agenda. In almost all analysed countries, these organisations are not very well informed about the real production conditions on livestock farms. In general, they ask for more labelling information for consumers on how livestock products are generated.</w:t>
      </w:r>
      <w:r w:rsidR="0091746D">
        <w:rPr>
          <w:szCs w:val="17"/>
        </w:rPr>
        <w:t xml:space="preserve"> These deliverables also highlight the fact that </w:t>
      </w:r>
      <w:r w:rsidR="0091746D" w:rsidRPr="0091746D">
        <w:rPr>
          <w:szCs w:val="17"/>
        </w:rPr>
        <w:t xml:space="preserve">many retailers </w:t>
      </w:r>
      <w:r w:rsidR="0091746D">
        <w:rPr>
          <w:szCs w:val="17"/>
        </w:rPr>
        <w:t>consider that, while</w:t>
      </w:r>
      <w:r w:rsidR="0091746D" w:rsidRPr="0091746D">
        <w:rPr>
          <w:szCs w:val="17"/>
        </w:rPr>
        <w:t xml:space="preserve"> animal welfare standards </w:t>
      </w:r>
      <w:r w:rsidR="0091746D">
        <w:rPr>
          <w:szCs w:val="17"/>
        </w:rPr>
        <w:t>are</w:t>
      </w:r>
      <w:r w:rsidR="0091746D" w:rsidRPr="0091746D">
        <w:rPr>
          <w:szCs w:val="17"/>
        </w:rPr>
        <w:t xml:space="preserve"> an interesting market niche, animal welfare as a stand-alone attribute is difficult to market separately from other quality characteristics, </w:t>
      </w:r>
      <w:r w:rsidR="0091746D">
        <w:rPr>
          <w:szCs w:val="17"/>
        </w:rPr>
        <w:t>such as</w:t>
      </w:r>
      <w:r w:rsidR="0091746D" w:rsidRPr="0091746D">
        <w:rPr>
          <w:szCs w:val="17"/>
        </w:rPr>
        <w:t xml:space="preserve"> compliance with environmental standards or biodiversity</w:t>
      </w:r>
      <w:r w:rsidR="0091746D">
        <w:rPr>
          <w:szCs w:val="17"/>
        </w:rPr>
        <w:t>, or organic production methods and systems</w:t>
      </w:r>
      <w:r w:rsidR="0091746D" w:rsidRPr="0091746D">
        <w:rPr>
          <w:szCs w:val="17"/>
        </w:rPr>
        <w:t>.</w:t>
      </w:r>
      <w:r w:rsidR="00936A55">
        <w:rPr>
          <w:szCs w:val="17"/>
        </w:rPr>
        <w:t xml:space="preserve"> Nevertheless, especially in the UK, the Netherlands and Sweden, multiple retailers have already instituted animal welfare standards as part of their ‘premium’ product lines. The </w:t>
      </w:r>
      <w:proofErr w:type="spellStart"/>
      <w:r w:rsidR="00936A55">
        <w:rPr>
          <w:szCs w:val="17"/>
        </w:rPr>
        <w:t>GLOBAL</w:t>
      </w:r>
      <w:r w:rsidR="001576F0">
        <w:rPr>
          <w:szCs w:val="17"/>
        </w:rPr>
        <w:t>gap</w:t>
      </w:r>
      <w:proofErr w:type="spellEnd"/>
      <w:r w:rsidR="00C469A0">
        <w:rPr>
          <w:szCs w:val="17"/>
        </w:rPr>
        <w:t xml:space="preserve"> </w:t>
      </w:r>
      <w:r w:rsidR="00936A55">
        <w:rPr>
          <w:szCs w:val="17"/>
        </w:rPr>
        <w:t>standard, although not specifically identified on product labels, is increasingly being integrated into retailers supply chain management and branding. However, it is difficult for the concerned consumer (or their representatives and champions) to discover what these standards actually mean, since they are not (presently) always in the public domain. However, as identified in D3.4, governments themselves may not always be considered the most reliable or credible sources of disinterested information, or the most effective communicators, and there is a clear role for third parties (including NGOs) in improving information and communication about animal welfare conditions and concerns.</w:t>
      </w:r>
      <w:r w:rsidR="006E224D">
        <w:rPr>
          <w:szCs w:val="17"/>
        </w:rPr>
        <w:t xml:space="preserve"> In addition, </w:t>
      </w:r>
      <w:r w:rsidR="006E224D">
        <w:rPr>
          <w:szCs w:val="20"/>
        </w:rPr>
        <w:t>“</w:t>
      </w:r>
      <w:r w:rsidR="006E224D">
        <w:rPr>
          <w:i/>
          <w:szCs w:val="20"/>
        </w:rPr>
        <w:t>c</w:t>
      </w:r>
      <w:r w:rsidR="006E224D" w:rsidRPr="006E224D">
        <w:rPr>
          <w:i/>
          <w:szCs w:val="20"/>
        </w:rPr>
        <w:t>onsumers may use mistrust in information as an excuse of their unwillingness to change their purchasing behaviour in line with their alleged concerns</w:t>
      </w:r>
      <w:r w:rsidR="006E224D">
        <w:rPr>
          <w:szCs w:val="20"/>
        </w:rPr>
        <w:t>” (</w:t>
      </w:r>
      <w:proofErr w:type="spellStart"/>
      <w:r w:rsidR="006E224D">
        <w:rPr>
          <w:szCs w:val="20"/>
        </w:rPr>
        <w:t>Toma</w:t>
      </w:r>
      <w:proofErr w:type="spellEnd"/>
      <w:r w:rsidR="006E224D">
        <w:rPr>
          <w:szCs w:val="20"/>
        </w:rPr>
        <w:t xml:space="preserve"> et al., 2011, p. 263)</w:t>
      </w:r>
    </w:p>
    <w:p w:rsidR="008D553A" w:rsidRDefault="008D553A" w:rsidP="008D553A">
      <w:pPr>
        <w:pStyle w:val="NormalWeb"/>
        <w:spacing w:beforeLines="0" w:afterLines="0"/>
        <w:jc w:val="both"/>
        <w:rPr>
          <w:rFonts w:ascii="Arial" w:hAnsi="Arial"/>
          <w:sz w:val="22"/>
        </w:rPr>
      </w:pPr>
      <w:proofErr w:type="spellStart"/>
      <w:r w:rsidRPr="008D553A">
        <w:rPr>
          <w:rFonts w:ascii="Arial" w:hAnsi="Arial"/>
          <w:sz w:val="22"/>
        </w:rPr>
        <w:t>Tonsor</w:t>
      </w:r>
      <w:proofErr w:type="spellEnd"/>
      <w:r w:rsidRPr="008D553A">
        <w:rPr>
          <w:rFonts w:ascii="Arial" w:hAnsi="Arial"/>
          <w:sz w:val="22"/>
        </w:rPr>
        <w:t xml:space="preserve"> </w:t>
      </w:r>
      <w:r w:rsidRPr="008D553A">
        <w:rPr>
          <w:rFonts w:ascii="Arial" w:hAnsi="Arial"/>
          <w:i/>
          <w:sz w:val="22"/>
        </w:rPr>
        <w:t xml:space="preserve">et al. </w:t>
      </w:r>
      <w:r w:rsidRPr="008D553A">
        <w:rPr>
          <w:rFonts w:ascii="Arial" w:hAnsi="Arial"/>
          <w:sz w:val="22"/>
        </w:rPr>
        <w:t xml:space="preserve">(2009) </w:t>
      </w:r>
      <w:r w:rsidR="006E224D">
        <w:rPr>
          <w:rFonts w:ascii="Arial" w:hAnsi="Arial"/>
          <w:sz w:val="22"/>
        </w:rPr>
        <w:t>examine</w:t>
      </w:r>
      <w:r>
        <w:rPr>
          <w:rFonts w:ascii="Arial" w:hAnsi="Arial"/>
          <w:sz w:val="22"/>
        </w:rPr>
        <w:t xml:space="preserve"> the issue of whether labelling substitutes effectively for regulation of production practices in the</w:t>
      </w:r>
      <w:r w:rsidRPr="008D553A">
        <w:rPr>
          <w:rFonts w:ascii="Arial" w:hAnsi="Arial"/>
          <w:sz w:val="22"/>
        </w:rPr>
        <w:t xml:space="preserve"> US</w:t>
      </w:r>
      <w:r>
        <w:rPr>
          <w:rFonts w:ascii="Arial" w:hAnsi="Arial"/>
          <w:sz w:val="22"/>
        </w:rPr>
        <w:t>,</w:t>
      </w:r>
      <w:r w:rsidRPr="008D553A">
        <w:rPr>
          <w:rFonts w:ascii="Arial" w:hAnsi="Arial"/>
          <w:sz w:val="22"/>
        </w:rPr>
        <w:t xml:space="preserve"> </w:t>
      </w:r>
      <w:r>
        <w:rPr>
          <w:rFonts w:ascii="Arial" w:hAnsi="Arial"/>
          <w:sz w:val="22"/>
        </w:rPr>
        <w:t>for</w:t>
      </w:r>
      <w:r w:rsidRPr="008D553A">
        <w:rPr>
          <w:rFonts w:ascii="Arial" w:hAnsi="Arial"/>
          <w:sz w:val="22"/>
        </w:rPr>
        <w:t xml:space="preserve"> pork raised without use of gestation crates. This study compared consumer preferences for pork raised using gestation crates, pork carrying a label guaranteeing it was produced by a farmer who voluntarily chose not to use gestation crates, and pork originating from a region where the use of gestation crates is legally banned. </w:t>
      </w:r>
      <w:bookmarkStart w:id="1" w:name="bb0035"/>
      <w:bookmarkEnd w:id="1"/>
      <w:r w:rsidRPr="008D553A">
        <w:rPr>
          <w:rFonts w:ascii="Arial" w:hAnsi="Arial"/>
          <w:sz w:val="22"/>
        </w:rPr>
        <w:t>The</w:t>
      </w:r>
      <w:r>
        <w:rPr>
          <w:rFonts w:ascii="Arial" w:hAnsi="Arial"/>
          <w:sz w:val="22"/>
        </w:rPr>
        <w:t>y</w:t>
      </w:r>
      <w:r w:rsidRPr="008D553A">
        <w:rPr>
          <w:rFonts w:ascii="Arial" w:hAnsi="Arial"/>
          <w:sz w:val="22"/>
        </w:rPr>
        <w:t xml:space="preserve"> </w:t>
      </w:r>
      <w:r>
        <w:rPr>
          <w:rFonts w:ascii="Arial" w:hAnsi="Arial"/>
          <w:sz w:val="22"/>
        </w:rPr>
        <w:t>conclude that</w:t>
      </w:r>
      <w:bookmarkStart w:id="2" w:name="sp015"/>
      <w:bookmarkEnd w:id="2"/>
      <w:r>
        <w:rPr>
          <w:rFonts w:ascii="Arial" w:hAnsi="Arial"/>
          <w:sz w:val="22"/>
        </w:rPr>
        <w:t xml:space="preserve">: </w:t>
      </w:r>
      <w:r w:rsidRPr="008D553A">
        <w:rPr>
          <w:rFonts w:ascii="Arial" w:hAnsi="Arial"/>
          <w:sz w:val="22"/>
        </w:rPr>
        <w:t>“</w:t>
      </w:r>
      <w:r w:rsidRPr="006E224D">
        <w:rPr>
          <w:rFonts w:ascii="Arial" w:hAnsi="Arial"/>
          <w:i/>
          <w:sz w:val="22"/>
        </w:rPr>
        <w:t>these results suggest that if a consumer is provided with adequate labelling of pork produced on farms certified to voluntarily not use gestation crates, we find no economic support justifying a ban on the use of gestation crates on the grounds of improving general consumer welfare</w:t>
      </w:r>
      <w:r w:rsidRPr="008D553A">
        <w:rPr>
          <w:rFonts w:ascii="Arial" w:hAnsi="Arial"/>
          <w:sz w:val="22"/>
        </w:rPr>
        <w:t>.” (p. 724).</w:t>
      </w:r>
    </w:p>
    <w:p w:rsidR="008D553A" w:rsidRPr="00D42D5B" w:rsidRDefault="000039F6" w:rsidP="00D42D5B">
      <w:pPr>
        <w:widowControl w:val="0"/>
        <w:autoSpaceDE w:val="0"/>
        <w:autoSpaceDN w:val="0"/>
        <w:adjustRightInd w:val="0"/>
        <w:spacing w:after="200"/>
        <w:rPr>
          <w:rFonts w:eastAsiaTheme="minorHAnsi" w:cs="AdvGulliv-R"/>
          <w:szCs w:val="16"/>
          <w:lang w:val="en-US" w:eastAsia="en-US"/>
        </w:rPr>
      </w:pPr>
      <w:proofErr w:type="spellStart"/>
      <w:r>
        <w:t>Tonsor</w:t>
      </w:r>
      <w:proofErr w:type="spellEnd"/>
      <w:r>
        <w:t xml:space="preserve"> and Wolfe (2011) also </w:t>
      </w:r>
      <w:r w:rsidR="000D6A15">
        <w:t>examine the question of</w:t>
      </w:r>
      <w:r>
        <w:t xml:space="preserve"> whether or not labelling should be mandatory, rat</w:t>
      </w:r>
      <w:r w:rsidR="000D6A15">
        <w:t xml:space="preserve">her than voluntary. </w:t>
      </w:r>
      <w:r w:rsidR="000D6A15" w:rsidRPr="000D6A15">
        <w:rPr>
          <w:rFonts w:eastAsiaTheme="minorHAnsi" w:cs="Times"/>
          <w:lang w:val="en-US" w:eastAsia="en-US"/>
        </w:rPr>
        <w:t>"</w:t>
      </w:r>
      <w:r w:rsidR="000D6A15" w:rsidRPr="004562E9">
        <w:rPr>
          <w:rFonts w:eastAsiaTheme="minorHAnsi" w:cs="Times"/>
          <w:i/>
          <w:lang w:val="en-US" w:eastAsia="en-US"/>
        </w:rPr>
        <w:t>When initially asked, 61.7% and 62.0%</w:t>
      </w:r>
      <w:r w:rsidR="000D6A15" w:rsidRPr="004562E9">
        <w:rPr>
          <w:rFonts w:cs="Times"/>
          <w:i/>
          <w:lang w:val="en-US"/>
        </w:rPr>
        <w:t xml:space="preserve"> (of the sample of 2001 US consumers)</w:t>
      </w:r>
      <w:r w:rsidR="000D6A15" w:rsidRPr="004562E9">
        <w:rPr>
          <w:rFonts w:eastAsiaTheme="minorHAnsi" w:cs="Times"/>
          <w:i/>
          <w:lang w:val="en-US" w:eastAsia="en-US"/>
        </w:rPr>
        <w:t xml:space="preserve"> indicated they would be in favor of mandatory labeling of pork produced on farms using gestation crates and of eggs produced using laying hen cages, respectively</w:t>
      </w:r>
      <w:proofErr w:type="gramStart"/>
      <w:r w:rsidR="000D6A15" w:rsidRPr="004562E9">
        <w:rPr>
          <w:rFonts w:eastAsiaTheme="minorHAnsi" w:cs="Times"/>
          <w:i/>
          <w:lang w:val="en-US" w:eastAsia="en-US"/>
        </w:rPr>
        <w:t>.</w:t>
      </w:r>
      <w:r w:rsidR="000D6A15" w:rsidRPr="004562E9">
        <w:rPr>
          <w:rFonts w:cs="Times"/>
          <w:i/>
          <w:lang w:val="en-US"/>
        </w:rPr>
        <w:t xml:space="preserve"> ..</w:t>
      </w:r>
      <w:proofErr w:type="gramEnd"/>
      <w:r w:rsidR="000D6A15" w:rsidRPr="004562E9">
        <w:rPr>
          <w:rFonts w:cs="Times"/>
          <w:i/>
          <w:sz w:val="24"/>
          <w:lang w:val="en-US"/>
        </w:rPr>
        <w:t xml:space="preserve"> </w:t>
      </w:r>
      <w:r w:rsidR="000D6A15" w:rsidRPr="004562E9">
        <w:rPr>
          <w:rFonts w:eastAsiaTheme="minorHAnsi" w:cs="Times"/>
          <w:i/>
          <w:lang w:val="en-US" w:eastAsia="en-US"/>
        </w:rPr>
        <w:t>When follow-up questions directly referencing price implications were asked, many participants removed their support for mandatory labeling. In particular, 44.5%, and 43.8% of those supporting mandatory labeling of gestation crate and laying hen cage use, respectively, in the initial question, reversed their position and opposed the referendum when</w:t>
      </w:r>
      <w:r w:rsidR="001C0155" w:rsidRPr="004562E9">
        <w:rPr>
          <w:rFonts w:cs="Times"/>
          <w:i/>
          <w:lang w:val="en-US"/>
        </w:rPr>
        <w:t xml:space="preserve"> presented with price increases</w:t>
      </w:r>
      <w:r w:rsidR="000D6A15" w:rsidRPr="000D6A15">
        <w:rPr>
          <w:rFonts w:eastAsiaTheme="minorHAnsi" w:cs="Times"/>
          <w:lang w:val="en-US" w:eastAsia="en-US"/>
        </w:rPr>
        <w:t>" (p432)</w:t>
      </w:r>
      <w:r w:rsidR="001C0155">
        <w:rPr>
          <w:rFonts w:cs="Times"/>
          <w:lang w:val="en-US"/>
        </w:rPr>
        <w:t>.  Their conclusions from this study provide a good summary statement of present socio-economic understandings of the issues: “</w:t>
      </w:r>
      <w:r w:rsidR="001C0155" w:rsidRPr="004562E9">
        <w:rPr>
          <w:rFonts w:eastAsiaTheme="minorHAnsi" w:cs="AdvGulliv-R"/>
          <w:i/>
          <w:szCs w:val="16"/>
          <w:lang w:val="en-US" w:eastAsia="en-US"/>
        </w:rPr>
        <w:t>Much research remains that would further improve our understanding of underlying demand (both of voters and meat consumers) for farm animal well-being, the implications for livestock producers, and the ultimate appropriateness of alternative regulatory environments in setting standards for the treatment of farm animals and the provision of such information to the general public</w:t>
      </w:r>
      <w:r w:rsidR="004562E9">
        <w:rPr>
          <w:rFonts w:eastAsiaTheme="minorHAnsi" w:cs="AdvGulliv-R"/>
          <w:szCs w:val="16"/>
          <w:lang w:val="en-US" w:eastAsia="en-US"/>
        </w:rPr>
        <w:t xml:space="preserve"> (p</w:t>
      </w:r>
      <w:r w:rsidR="000278A0">
        <w:rPr>
          <w:rFonts w:eastAsiaTheme="minorHAnsi" w:cs="AdvGulliv-R"/>
          <w:szCs w:val="16"/>
          <w:lang w:val="en-US" w:eastAsia="en-US"/>
        </w:rPr>
        <w:t xml:space="preserve"> 435).</w:t>
      </w:r>
    </w:p>
    <w:p w:rsidR="00FA5CC0" w:rsidRDefault="006E224D" w:rsidP="005831C4">
      <w:pPr>
        <w:spacing w:after="200" w:line="220" w:lineRule="atLeast"/>
        <w:rPr>
          <w:szCs w:val="20"/>
        </w:rPr>
      </w:pPr>
      <w:r>
        <w:rPr>
          <w:szCs w:val="20"/>
        </w:rPr>
        <w:t>I</w:t>
      </w:r>
      <w:r w:rsidR="001C537B">
        <w:rPr>
          <w:szCs w:val="20"/>
        </w:rPr>
        <w:t xml:space="preserve">mproved communications, information and more reliable animal welfare labels, while obvious and useful, </w:t>
      </w:r>
      <w:r w:rsidR="00936A55">
        <w:rPr>
          <w:szCs w:val="20"/>
        </w:rPr>
        <w:t>may not</w:t>
      </w:r>
      <w:r w:rsidR="001C537B">
        <w:rPr>
          <w:szCs w:val="20"/>
        </w:rPr>
        <w:t xml:space="preserve"> </w:t>
      </w:r>
      <w:r w:rsidR="00B95E84">
        <w:rPr>
          <w:szCs w:val="20"/>
        </w:rPr>
        <w:t xml:space="preserve">necessarily </w:t>
      </w:r>
      <w:r w:rsidR="001C537B">
        <w:rPr>
          <w:szCs w:val="20"/>
        </w:rPr>
        <w:t>narrow the gap between attitudes and actions substantially.</w:t>
      </w:r>
      <w:r w:rsidR="00753D90">
        <w:rPr>
          <w:szCs w:val="20"/>
        </w:rPr>
        <w:t xml:space="preserve"> </w:t>
      </w:r>
      <w:r w:rsidR="001C537B">
        <w:rPr>
          <w:szCs w:val="20"/>
        </w:rPr>
        <w:t>The fifth and sixth reasons for the disparity</w:t>
      </w:r>
      <w:r w:rsidR="00936A55">
        <w:rPr>
          <w:szCs w:val="20"/>
        </w:rPr>
        <w:t xml:space="preserve"> between reported attitudes</w:t>
      </w:r>
      <w:r w:rsidR="00B95E84">
        <w:rPr>
          <w:szCs w:val="20"/>
        </w:rPr>
        <w:t>/stated preferences</w:t>
      </w:r>
      <w:r w:rsidR="00936A55">
        <w:rPr>
          <w:szCs w:val="20"/>
        </w:rPr>
        <w:t xml:space="preserve"> and actual behaviour</w:t>
      </w:r>
      <w:r w:rsidR="001C537B">
        <w:rPr>
          <w:szCs w:val="20"/>
        </w:rPr>
        <w:t xml:space="preserve"> are </w:t>
      </w:r>
      <w:r w:rsidR="003B7E74">
        <w:rPr>
          <w:szCs w:val="20"/>
        </w:rPr>
        <w:t xml:space="preserve">probably more important (e.g. </w:t>
      </w:r>
      <w:proofErr w:type="spellStart"/>
      <w:r w:rsidR="003B7E74">
        <w:rPr>
          <w:szCs w:val="20"/>
        </w:rPr>
        <w:t>Verbeke</w:t>
      </w:r>
      <w:proofErr w:type="spellEnd"/>
      <w:r w:rsidR="003B7E74">
        <w:rPr>
          <w:szCs w:val="20"/>
        </w:rPr>
        <w:t xml:space="preserve">, 2009). If consumers have to spend valuable time and energy searching for </w:t>
      </w:r>
      <w:r w:rsidR="00AD219C">
        <w:rPr>
          <w:szCs w:val="20"/>
        </w:rPr>
        <w:t xml:space="preserve">animal </w:t>
      </w:r>
      <w:r w:rsidR="003B7E74">
        <w:rPr>
          <w:szCs w:val="20"/>
        </w:rPr>
        <w:t>welfare friendly products, then the effective price of improved animal welfare rises and the demand falls.  Similarly, if other things (taste, quality, safety, convenience)</w:t>
      </w:r>
      <w:r w:rsidR="00D105CD">
        <w:rPr>
          <w:szCs w:val="20"/>
        </w:rPr>
        <w:t xml:space="preserve"> are more important than the welfare provenance, then consumers will ration their time, effort and money in favour of these more important attributes, and not bother to seek out specific </w:t>
      </w:r>
      <w:r w:rsidR="00AD219C">
        <w:rPr>
          <w:szCs w:val="20"/>
        </w:rPr>
        <w:t xml:space="preserve">animal </w:t>
      </w:r>
      <w:r w:rsidR="00D105CD">
        <w:rPr>
          <w:szCs w:val="20"/>
        </w:rPr>
        <w:t>welfare friendly products.  Moreover, consumers (and citizens) are not only concerned about their food – they have plenty of other things to be interested in, worried and concerned about, and on which to spend their time, effort and money. They will, in other words, tend to be ‘rationally ignorant’ – not bother</w:t>
      </w:r>
      <w:r w:rsidR="00D579E0">
        <w:rPr>
          <w:szCs w:val="20"/>
        </w:rPr>
        <w:t>ing</w:t>
      </w:r>
      <w:r w:rsidR="00D105CD">
        <w:rPr>
          <w:szCs w:val="20"/>
        </w:rPr>
        <w:t xml:space="preserve"> to spend time and effort trying to find out about, or to find, </w:t>
      </w:r>
      <w:r w:rsidR="00AD219C">
        <w:rPr>
          <w:szCs w:val="20"/>
        </w:rPr>
        <w:t xml:space="preserve">animal </w:t>
      </w:r>
      <w:r w:rsidR="00D105CD">
        <w:rPr>
          <w:szCs w:val="20"/>
        </w:rPr>
        <w:t>welfare friendly products in the face of all their competing interests and (pre-)</w:t>
      </w:r>
      <w:r w:rsidR="00D579E0">
        <w:rPr>
          <w:szCs w:val="20"/>
        </w:rPr>
        <w:t xml:space="preserve"> </w:t>
      </w:r>
      <w:r w:rsidR="00FA5CC0">
        <w:rPr>
          <w:szCs w:val="20"/>
        </w:rPr>
        <w:t>occupations. T</w:t>
      </w:r>
      <w:r w:rsidR="00D105CD">
        <w:rPr>
          <w:szCs w:val="20"/>
        </w:rPr>
        <w:t xml:space="preserve">he benefits they would get from the effort </w:t>
      </w:r>
      <w:r w:rsidR="00E528D2">
        <w:rPr>
          <w:szCs w:val="20"/>
        </w:rPr>
        <w:t>are simply not worth it to them, though their responses in surveys will often be revealed as ‘being unable to find welfare friendly products’ and is often ascribed to be due to a ‘lack of availability’.</w:t>
      </w:r>
      <w:r w:rsidR="00D579E0">
        <w:rPr>
          <w:szCs w:val="20"/>
        </w:rPr>
        <w:t xml:space="preserve"> </w:t>
      </w:r>
      <w:r w:rsidR="00241544">
        <w:rPr>
          <w:szCs w:val="20"/>
        </w:rPr>
        <w:t>It is also likely that at least some people would prefer not to be reminded about animal welfare at all when shopping for food.</w:t>
      </w:r>
      <w:r w:rsidR="00FA5CC0" w:rsidRPr="00FA5CC0">
        <w:rPr>
          <w:szCs w:val="20"/>
        </w:rPr>
        <w:t xml:space="preserve"> </w:t>
      </w:r>
      <w:r w:rsidR="00FA5CC0">
        <w:rPr>
          <w:szCs w:val="20"/>
        </w:rPr>
        <w:t>As a consequence, “</w:t>
      </w:r>
      <w:r w:rsidR="00FA5CC0">
        <w:rPr>
          <w:rFonts w:cs="Gill Sans"/>
          <w:i/>
          <w:iCs/>
          <w:szCs w:val="20"/>
        </w:rPr>
        <w:t>I</w:t>
      </w:r>
      <w:r w:rsidR="00FA5CC0" w:rsidRPr="00241544">
        <w:rPr>
          <w:rFonts w:cs="Gill Sans"/>
          <w:i/>
          <w:iCs/>
          <w:szCs w:val="20"/>
        </w:rPr>
        <w:t>mproved farm animal welfare is more likely be realised and valued by consumers when it is integrated within a broader concept of quality, such as quality assurance or sustainability schemes</w:t>
      </w:r>
      <w:r w:rsidR="00FA5CC0">
        <w:rPr>
          <w:rFonts w:cs="Gill Sans"/>
          <w:i/>
          <w:iCs/>
          <w:szCs w:val="20"/>
        </w:rPr>
        <w:t>”</w:t>
      </w:r>
      <w:r w:rsidR="00FA5CC0">
        <w:rPr>
          <w:rFonts w:cs="Gill Sans"/>
          <w:iCs/>
          <w:szCs w:val="20"/>
        </w:rPr>
        <w:t xml:space="preserve"> </w:t>
      </w:r>
      <w:r w:rsidR="00AD219C">
        <w:rPr>
          <w:rFonts w:cs="Gill Sans"/>
          <w:iCs/>
          <w:szCs w:val="20"/>
        </w:rPr>
        <w:t>(</w:t>
      </w:r>
      <w:r w:rsidR="00FA5CC0">
        <w:rPr>
          <w:rFonts w:cs="Gill Sans"/>
          <w:iCs/>
          <w:szCs w:val="20"/>
        </w:rPr>
        <w:t>ibid, p</w:t>
      </w:r>
      <w:r w:rsidR="00AD219C">
        <w:rPr>
          <w:rFonts w:cs="Gill Sans"/>
          <w:iCs/>
          <w:szCs w:val="20"/>
        </w:rPr>
        <w:t>.</w:t>
      </w:r>
      <w:r w:rsidR="00FA5CC0">
        <w:rPr>
          <w:rFonts w:cs="Gill Sans"/>
          <w:iCs/>
          <w:szCs w:val="20"/>
        </w:rPr>
        <w:t xml:space="preserve"> 325</w:t>
      </w:r>
      <w:r w:rsidR="00AD219C">
        <w:rPr>
          <w:rFonts w:cs="Gill Sans"/>
          <w:iCs/>
          <w:szCs w:val="20"/>
        </w:rPr>
        <w:t>)</w:t>
      </w:r>
      <w:r w:rsidR="00FA5CC0">
        <w:rPr>
          <w:rFonts w:cs="Gill Sans"/>
          <w:iCs/>
          <w:szCs w:val="20"/>
        </w:rPr>
        <w:t>.</w:t>
      </w:r>
      <w:r w:rsidR="00241544">
        <w:rPr>
          <w:szCs w:val="20"/>
        </w:rPr>
        <w:t xml:space="preserve"> </w:t>
      </w:r>
      <w:r w:rsidR="00D579E0">
        <w:rPr>
          <w:szCs w:val="20"/>
        </w:rPr>
        <w:t xml:space="preserve"> </w:t>
      </w:r>
    </w:p>
    <w:p w:rsidR="00BC2C90" w:rsidRDefault="00936A55" w:rsidP="005831C4">
      <w:pPr>
        <w:spacing w:after="200" w:line="220" w:lineRule="atLeast"/>
        <w:rPr>
          <w:rFonts w:cs="Gill Sans"/>
          <w:iCs/>
          <w:szCs w:val="20"/>
        </w:rPr>
      </w:pPr>
      <w:r>
        <w:rPr>
          <w:szCs w:val="20"/>
        </w:rPr>
        <w:t>Both a</w:t>
      </w:r>
      <w:r w:rsidR="00D579E0">
        <w:rPr>
          <w:szCs w:val="20"/>
        </w:rPr>
        <w:t>ttitude surveys</w:t>
      </w:r>
      <w:r>
        <w:rPr>
          <w:szCs w:val="20"/>
        </w:rPr>
        <w:t xml:space="preserve"> and typical WTP studies</w:t>
      </w:r>
      <w:r w:rsidR="00D579E0">
        <w:rPr>
          <w:szCs w:val="20"/>
        </w:rPr>
        <w:t xml:space="preserve">, being focused on </w:t>
      </w:r>
      <w:r>
        <w:rPr>
          <w:szCs w:val="20"/>
        </w:rPr>
        <w:t xml:space="preserve">the </w:t>
      </w:r>
      <w:r w:rsidR="00D579E0">
        <w:rPr>
          <w:szCs w:val="20"/>
        </w:rPr>
        <w:t xml:space="preserve">specific issue </w:t>
      </w:r>
      <w:r>
        <w:rPr>
          <w:szCs w:val="20"/>
        </w:rPr>
        <w:t>of</w:t>
      </w:r>
      <w:r w:rsidR="00D579E0">
        <w:rPr>
          <w:szCs w:val="20"/>
        </w:rPr>
        <w:t xml:space="preserve"> animal welfare, in isolation from the real world, do not include these real world constraints and considerations, and are always and necessarily biased in favour of the focussed issue as a result.</w:t>
      </w:r>
      <w:r w:rsidR="00FA5CC0">
        <w:rPr>
          <w:szCs w:val="20"/>
        </w:rPr>
        <w:t xml:space="preserve">  Isolated attitudes are not likely to be reliable indicators of purchase intentions or actions, as is frequently found in the literature.</w:t>
      </w:r>
      <w:r w:rsidR="00241544">
        <w:rPr>
          <w:szCs w:val="20"/>
        </w:rPr>
        <w:t xml:space="preserve"> </w:t>
      </w:r>
      <w:r w:rsidR="00241544">
        <w:rPr>
          <w:rFonts w:cs="Gill Sans"/>
          <w:iCs/>
          <w:szCs w:val="20"/>
        </w:rPr>
        <w:t xml:space="preserve">Considering all the potential reasons why consumers’ behaviour might well differ from their stated attitudes (‘votes”) in favour of animal welfare as citizens, it should come as little surprise that there is a gap between attitudes and behaviour. </w:t>
      </w:r>
      <w:r w:rsidR="006E224D">
        <w:rPr>
          <w:rFonts w:cs="Gill Sans"/>
          <w:iCs/>
          <w:szCs w:val="20"/>
        </w:rPr>
        <w:t xml:space="preserve">Indeed, what is perhaps more surprising is that the gap is not larger. </w:t>
      </w:r>
      <w:r>
        <w:rPr>
          <w:rFonts w:cs="Gill Sans"/>
          <w:iCs/>
          <w:szCs w:val="20"/>
        </w:rPr>
        <w:t>The</w:t>
      </w:r>
      <w:r w:rsidR="00241544">
        <w:rPr>
          <w:rFonts w:cs="Gill Sans"/>
          <w:iCs/>
          <w:szCs w:val="20"/>
        </w:rPr>
        <w:t xml:space="preserve"> apparent gap </w:t>
      </w:r>
      <w:r>
        <w:rPr>
          <w:rFonts w:cs="Gill Sans"/>
          <w:iCs/>
          <w:szCs w:val="20"/>
        </w:rPr>
        <w:t>does not necessarily</w:t>
      </w:r>
      <w:r w:rsidR="00241544">
        <w:rPr>
          <w:rFonts w:cs="Gill Sans"/>
          <w:iCs/>
          <w:szCs w:val="20"/>
        </w:rPr>
        <w:t xml:space="preserve"> justif</w:t>
      </w:r>
      <w:r>
        <w:rPr>
          <w:rFonts w:cs="Gill Sans"/>
          <w:iCs/>
          <w:szCs w:val="20"/>
        </w:rPr>
        <w:t>y</w:t>
      </w:r>
      <w:r w:rsidR="00241544">
        <w:rPr>
          <w:rFonts w:cs="Gill Sans"/>
          <w:iCs/>
          <w:szCs w:val="20"/>
        </w:rPr>
        <w:t xml:space="preserve"> </w:t>
      </w:r>
      <w:r>
        <w:rPr>
          <w:rFonts w:cs="Gill Sans"/>
          <w:iCs/>
          <w:szCs w:val="20"/>
        </w:rPr>
        <w:t xml:space="preserve">specific </w:t>
      </w:r>
      <w:r w:rsidR="00241544">
        <w:rPr>
          <w:rFonts w:cs="Gill Sans"/>
          <w:iCs/>
          <w:szCs w:val="20"/>
        </w:rPr>
        <w:t xml:space="preserve">government </w:t>
      </w:r>
      <w:r>
        <w:rPr>
          <w:rFonts w:cs="Gill Sans"/>
          <w:iCs/>
          <w:szCs w:val="20"/>
        </w:rPr>
        <w:t>action to bridge the gap, but the analysis of the reasons for the gap do</w:t>
      </w:r>
      <w:r w:rsidR="006E224D">
        <w:rPr>
          <w:rFonts w:cs="Gill Sans"/>
          <w:iCs/>
          <w:szCs w:val="20"/>
        </w:rPr>
        <w:t>es</w:t>
      </w:r>
      <w:r>
        <w:rPr>
          <w:rFonts w:cs="Gill Sans"/>
          <w:iCs/>
          <w:szCs w:val="20"/>
        </w:rPr>
        <w:t xml:space="preserve"> indicate the roles, and likely effectiveness of information, communication, verification, disinterested standard setting and associated labelling support activities, and also indicate that public-private partnerships are likely to prove most effective.</w:t>
      </w:r>
    </w:p>
    <w:p w:rsidR="00936A55" w:rsidRPr="00936A55" w:rsidRDefault="00936A55" w:rsidP="00936A55">
      <w:pPr>
        <w:pStyle w:val="TOCHeading"/>
        <w:rPr>
          <w:i/>
        </w:rPr>
      </w:pPr>
      <w:r>
        <w:rPr>
          <w:i/>
        </w:rPr>
        <w:t xml:space="preserve">Should Markets </w:t>
      </w:r>
      <w:r w:rsidR="00AD219C">
        <w:rPr>
          <w:i/>
        </w:rPr>
        <w:t>R</w:t>
      </w:r>
      <w:r>
        <w:rPr>
          <w:i/>
        </w:rPr>
        <w:t>ule?</w:t>
      </w:r>
    </w:p>
    <w:p w:rsidR="00B3577D" w:rsidRDefault="00B3577D">
      <w:pPr>
        <w:pStyle w:val="Pa2"/>
        <w:spacing w:after="200" w:line="240" w:lineRule="auto"/>
        <w:jc w:val="both"/>
        <w:rPr>
          <w:rFonts w:ascii="Arial" w:hAnsi="Arial" w:cs="TimesNewRomanPS"/>
          <w:color w:val="000000"/>
          <w:sz w:val="22"/>
          <w:szCs w:val="23"/>
        </w:rPr>
      </w:pPr>
      <w:r>
        <w:rPr>
          <w:rFonts w:ascii="Arial" w:hAnsi="Arial" w:cs="AdvTimes"/>
          <w:sz w:val="22"/>
          <w:szCs w:val="18"/>
        </w:rPr>
        <w:t>As noted above, m</w:t>
      </w:r>
      <w:r w:rsidR="00D22AE1" w:rsidRPr="00D22AE1">
        <w:rPr>
          <w:rFonts w:ascii="Arial" w:hAnsi="Arial" w:cs="AdvTimes"/>
          <w:sz w:val="22"/>
          <w:szCs w:val="18"/>
        </w:rPr>
        <w:t>any people, particularly those especially concerned and disturbed about animal welfare conditions, will object strongly to the predominantly market-based approach adopted in this analysis. Surely the rights of animals deserve r</w:t>
      </w:r>
      <w:r w:rsidR="00C469A0">
        <w:rPr>
          <w:rFonts w:ascii="Arial" w:hAnsi="Arial" w:cs="AdvTimes"/>
          <w:sz w:val="22"/>
          <w:szCs w:val="18"/>
        </w:rPr>
        <w:t xml:space="preserve">espect in any </w:t>
      </w:r>
      <w:proofErr w:type="spellStart"/>
      <w:r w:rsidR="00C469A0">
        <w:rPr>
          <w:rFonts w:ascii="Arial" w:hAnsi="Arial" w:cs="AdvTimes"/>
          <w:sz w:val="22"/>
          <w:szCs w:val="18"/>
        </w:rPr>
        <w:t>civilised</w:t>
      </w:r>
      <w:proofErr w:type="spellEnd"/>
      <w:r w:rsidR="00C469A0">
        <w:rPr>
          <w:rFonts w:ascii="Arial" w:hAnsi="Arial" w:cs="AdvTimes"/>
          <w:sz w:val="22"/>
          <w:szCs w:val="18"/>
        </w:rPr>
        <w:t xml:space="preserve"> society?</w:t>
      </w:r>
      <w:r w:rsidR="00D22AE1" w:rsidRPr="00D22AE1">
        <w:rPr>
          <w:rFonts w:ascii="Arial" w:hAnsi="Arial" w:cs="AdvTimes"/>
          <w:sz w:val="22"/>
          <w:szCs w:val="18"/>
        </w:rPr>
        <w:t xml:space="preserve"> If consumers and producers (and their associated supply chains) are not prepared to observe human decency in their dealings with animals in the interests of profit and self-advancement, then it is our governments’ responsibility to enforce the necessary standards through legislation</w:t>
      </w:r>
      <w:r>
        <w:rPr>
          <w:rFonts w:ascii="Arial" w:hAnsi="Arial" w:cs="AdvTimes"/>
          <w:sz w:val="22"/>
          <w:szCs w:val="18"/>
        </w:rPr>
        <w:t>, on our behalf</w:t>
      </w:r>
      <w:r w:rsidR="00D22AE1" w:rsidRPr="00D22AE1">
        <w:rPr>
          <w:rFonts w:ascii="Arial" w:hAnsi="Arial" w:cs="AdvTimes"/>
          <w:sz w:val="22"/>
          <w:szCs w:val="18"/>
        </w:rPr>
        <w:t xml:space="preserve">. There is no ethical or responsible justification for leaving this entirely to a ‘free’ market, however much effort we make to inform and assist these market mechanisms to persuade people to behave better. </w:t>
      </w:r>
      <w:r w:rsidR="00D22AE1" w:rsidRPr="00D22AE1">
        <w:rPr>
          <w:rFonts w:ascii="Arial" w:hAnsi="Arial"/>
          <w:sz w:val="22"/>
        </w:rPr>
        <w:t>Furthermore, there is a common view, which is deliberately omitted from Figure 2 above, that it is Government’s responsibility to take care of such things as animal welfare (and therefore not up to each and every citizen). For instance, the (UK) F</w:t>
      </w:r>
      <w:r w:rsidR="00AD219C">
        <w:rPr>
          <w:rFonts w:ascii="Arial" w:hAnsi="Arial"/>
          <w:sz w:val="22"/>
        </w:rPr>
        <w:t xml:space="preserve">arm </w:t>
      </w:r>
      <w:r w:rsidR="00D22AE1" w:rsidRPr="00D22AE1">
        <w:rPr>
          <w:rFonts w:ascii="Arial" w:hAnsi="Arial"/>
          <w:sz w:val="22"/>
        </w:rPr>
        <w:t>A</w:t>
      </w:r>
      <w:r w:rsidR="00AD219C">
        <w:rPr>
          <w:rFonts w:ascii="Arial" w:hAnsi="Arial"/>
          <w:sz w:val="22"/>
        </w:rPr>
        <w:t xml:space="preserve">nimal </w:t>
      </w:r>
      <w:r w:rsidR="00D22AE1" w:rsidRPr="00D22AE1">
        <w:rPr>
          <w:rFonts w:ascii="Arial" w:hAnsi="Arial"/>
          <w:sz w:val="22"/>
        </w:rPr>
        <w:t>W</w:t>
      </w:r>
      <w:r w:rsidR="00AD219C">
        <w:rPr>
          <w:rFonts w:ascii="Arial" w:hAnsi="Arial"/>
          <w:sz w:val="22"/>
        </w:rPr>
        <w:t xml:space="preserve">elfare </w:t>
      </w:r>
      <w:r w:rsidR="00D22AE1" w:rsidRPr="00D22AE1">
        <w:rPr>
          <w:rFonts w:ascii="Arial" w:hAnsi="Arial"/>
          <w:sz w:val="22"/>
        </w:rPr>
        <w:t>C</w:t>
      </w:r>
      <w:r w:rsidR="00AD219C">
        <w:rPr>
          <w:rFonts w:ascii="Arial" w:hAnsi="Arial"/>
          <w:sz w:val="22"/>
        </w:rPr>
        <w:t>ouncil</w:t>
      </w:r>
      <w:r w:rsidR="00D22AE1" w:rsidRPr="00D22AE1">
        <w:rPr>
          <w:rFonts w:ascii="Arial" w:hAnsi="Arial"/>
          <w:sz w:val="22"/>
        </w:rPr>
        <w:t xml:space="preserve"> notes (FAWC, 2009)</w:t>
      </w:r>
      <w:r w:rsidR="00154A2A">
        <w:rPr>
          <w:rStyle w:val="FootnoteReference"/>
          <w:rFonts w:ascii="Arial" w:hAnsi="Arial"/>
          <w:sz w:val="22"/>
        </w:rPr>
        <w:footnoteReference w:id="10"/>
      </w:r>
      <w:r w:rsidR="00D22AE1" w:rsidRPr="00D22AE1">
        <w:rPr>
          <w:rFonts w:ascii="Arial" w:hAnsi="Arial"/>
          <w:sz w:val="22"/>
        </w:rPr>
        <w:t xml:space="preserve">: </w:t>
      </w:r>
      <w:r w:rsidR="00311653" w:rsidRPr="00CE57E8">
        <w:rPr>
          <w:rFonts w:ascii="Arial" w:hAnsi="Arial"/>
          <w:sz w:val="22"/>
        </w:rPr>
        <w:t>“</w:t>
      </w:r>
      <w:r w:rsidR="00311653" w:rsidRPr="00497C12">
        <w:rPr>
          <w:rFonts w:ascii="Arial" w:hAnsi="Arial" w:cs="TimesNewRomanPS"/>
          <w:i/>
          <w:color w:val="000000"/>
          <w:sz w:val="22"/>
          <w:szCs w:val="23"/>
        </w:rPr>
        <w:t>The necessary conditions for ethical consumerism and improved farm animal welfare</w:t>
      </w:r>
      <w:r w:rsidR="00CE57E8" w:rsidRPr="00497C12">
        <w:rPr>
          <w:rFonts w:ascii="Arial" w:hAnsi="Arial" w:cs="TimesNewRomanPS"/>
          <w:i/>
          <w:color w:val="000000"/>
          <w:sz w:val="22"/>
          <w:szCs w:val="23"/>
        </w:rPr>
        <w:t xml:space="preserve"> (include)</w:t>
      </w:r>
      <w:r w:rsidR="00311653" w:rsidRPr="00497C12">
        <w:rPr>
          <w:rFonts w:ascii="Arial" w:hAnsi="Arial" w:cs="TimesNewRomanPS"/>
          <w:i/>
          <w:color w:val="000000"/>
          <w:sz w:val="22"/>
          <w:szCs w:val="23"/>
        </w:rPr>
        <w:t xml:space="preserve">: </w:t>
      </w:r>
      <w:proofErr w:type="spellStart"/>
      <w:r w:rsidR="00311653" w:rsidRPr="00497C12">
        <w:rPr>
          <w:rFonts w:ascii="Arial" w:hAnsi="Arial" w:cs="TimesNewRomanPS"/>
          <w:i/>
          <w:color w:val="000000"/>
          <w:sz w:val="22"/>
          <w:szCs w:val="23"/>
        </w:rPr>
        <w:t>i</w:t>
      </w:r>
      <w:proofErr w:type="spellEnd"/>
      <w:r w:rsidR="00311653" w:rsidRPr="00497C12">
        <w:rPr>
          <w:rFonts w:ascii="Arial" w:hAnsi="Arial" w:cs="TimesNewRomanPS"/>
          <w:i/>
          <w:color w:val="000000"/>
          <w:sz w:val="22"/>
          <w:szCs w:val="23"/>
        </w:rPr>
        <w:t>. The Government to act as the guardian of farm animal welfare</w:t>
      </w:r>
      <w:r w:rsidR="00497C12">
        <w:rPr>
          <w:rFonts w:ascii="Arial" w:hAnsi="Arial" w:cs="TimesNewRomanPS"/>
          <w:color w:val="000000"/>
          <w:sz w:val="22"/>
          <w:szCs w:val="23"/>
        </w:rPr>
        <w:t xml:space="preserve">.” </w:t>
      </w:r>
    </w:p>
    <w:p w:rsidR="001C17DE" w:rsidRDefault="00B3577D">
      <w:pPr>
        <w:pStyle w:val="Pa2"/>
        <w:spacing w:after="200" w:line="240" w:lineRule="auto"/>
        <w:jc w:val="both"/>
        <w:rPr>
          <w:rFonts w:cs="TimesNewRomanPS"/>
          <w:color w:val="000000"/>
          <w:szCs w:val="23"/>
        </w:rPr>
      </w:pPr>
      <w:r>
        <w:rPr>
          <w:rFonts w:ascii="Arial" w:hAnsi="Arial" w:cs="TimesNewRomanPS"/>
          <w:color w:val="000000"/>
          <w:sz w:val="22"/>
          <w:szCs w:val="23"/>
        </w:rPr>
        <w:t xml:space="preserve">Paradoxically, a deliberately and narrowly self-interested citizen might argue that it is more efficient to delegate moral and social responsibility to government – and hence not only delegate but also </w:t>
      </w:r>
      <w:r w:rsidR="00D44C3E">
        <w:rPr>
          <w:rFonts w:ascii="Arial" w:hAnsi="Arial" w:cs="TimesNewRomanPS"/>
          <w:color w:val="000000"/>
          <w:sz w:val="22"/>
          <w:szCs w:val="23"/>
        </w:rPr>
        <w:t>abdicate</w:t>
      </w:r>
      <w:r>
        <w:rPr>
          <w:rFonts w:ascii="Arial" w:hAnsi="Arial" w:cs="TimesNewRomanPS"/>
          <w:color w:val="000000"/>
          <w:sz w:val="22"/>
          <w:szCs w:val="23"/>
        </w:rPr>
        <w:t xml:space="preserve"> individual responsibility. Of course, if everyone is of this view, then no one is left to take responsibility. The necessary existence of government does not absolve individual constituents from their responsibilities to inform and condition their government’s activities and actions on their behalf.</w:t>
      </w:r>
    </w:p>
    <w:p w:rsidR="00331DF8" w:rsidRDefault="00936A55" w:rsidP="005831C4">
      <w:pPr>
        <w:spacing w:after="200" w:line="220" w:lineRule="atLeast"/>
        <w:rPr>
          <w:rFonts w:cs="AdvTimes"/>
          <w:szCs w:val="18"/>
        </w:rPr>
      </w:pPr>
      <w:r>
        <w:rPr>
          <w:rFonts w:cs="AdvTimes"/>
          <w:szCs w:val="18"/>
        </w:rPr>
        <w:t>Mann (2005) argues that we need a ‘deliberative’ mechanism to pursue the issue of ethological welfare programmes, on the grounds that psychological externalities may be sufficiently strong to justify public intervention and support over and above the market mechanism in the ‘public interest’. Such intervention is essentially political (deliberative) and not economic, and our brief is to examine the socio-economics, not the politics of animal welfare. Nevertheless, we have identified (which Mann does not) how these psychological externalities (at least as far as they are captured in the free-rider problem) might lead to ‘market failure’, and what the economically appropriate instruments are. People can then argue that there are</w:t>
      </w:r>
      <w:r w:rsidR="00FC2ECE">
        <w:rPr>
          <w:rFonts w:cs="AdvTimes"/>
          <w:szCs w:val="18"/>
        </w:rPr>
        <w:t xml:space="preserve"> strong</w:t>
      </w:r>
      <w:r>
        <w:rPr>
          <w:rFonts w:cs="AdvTimes"/>
          <w:szCs w:val="18"/>
        </w:rPr>
        <w:t xml:space="preserve"> political (deliberative</w:t>
      </w:r>
      <w:r w:rsidR="00FC2ECE">
        <w:rPr>
          <w:rFonts w:cs="AdvTimes"/>
          <w:szCs w:val="18"/>
        </w:rPr>
        <w:t xml:space="preserve"> and moral</w:t>
      </w:r>
      <w:r>
        <w:rPr>
          <w:rFonts w:cs="AdvTimes"/>
          <w:szCs w:val="18"/>
        </w:rPr>
        <w:t>) reasons for disregarding</w:t>
      </w:r>
      <w:r w:rsidR="00FC2ECE">
        <w:rPr>
          <w:rFonts w:cs="AdvTimes"/>
          <w:szCs w:val="18"/>
        </w:rPr>
        <w:t xml:space="preserve"> and over-ruling</w:t>
      </w:r>
      <w:r>
        <w:rPr>
          <w:rFonts w:cs="AdvTimes"/>
          <w:szCs w:val="18"/>
        </w:rPr>
        <w:t xml:space="preserve"> the economics</w:t>
      </w:r>
      <w:r w:rsidR="00FC2ECE">
        <w:rPr>
          <w:rFonts w:cs="AdvTimes"/>
          <w:szCs w:val="18"/>
        </w:rPr>
        <w:t xml:space="preserve"> (commercial and self-interests)</w:t>
      </w:r>
      <w:r>
        <w:rPr>
          <w:rFonts w:cs="AdvTimes"/>
          <w:szCs w:val="18"/>
        </w:rPr>
        <w:t xml:space="preserve">. </w:t>
      </w:r>
    </w:p>
    <w:p w:rsidR="002177DB" w:rsidRDefault="00FC2ECE" w:rsidP="005831C4">
      <w:pPr>
        <w:spacing w:after="200" w:line="220" w:lineRule="atLeast"/>
        <w:rPr>
          <w:rFonts w:cs="AdvTimes"/>
          <w:szCs w:val="18"/>
        </w:rPr>
      </w:pPr>
      <w:r>
        <w:rPr>
          <w:rFonts w:cs="AdvTimes"/>
          <w:szCs w:val="18"/>
        </w:rPr>
        <w:t xml:space="preserve">These arguments quickly become complicated, polarised and ideological, and difficult to reconcile within the practical contexts of modern mixed (governed) market systems. It ought to be clear, however, that there is no such thing as a ‘free’ market – other than in the arid conceptions of theoretical economists. Adam Smith’s invisible hand of the market is necessarily attached to the long arm of the law, if only to protect property rights and to enforce contracts. Government and governance are embedded in our ‘market’ systems. Furthermore, our ‘markets’ include many (and increasing) examples of private initiatives and voluntary altruistic </w:t>
      </w:r>
      <w:proofErr w:type="gramStart"/>
      <w:r>
        <w:rPr>
          <w:rFonts w:cs="AdvTimes"/>
          <w:szCs w:val="18"/>
        </w:rPr>
        <w:t>actions which</w:t>
      </w:r>
      <w:proofErr w:type="gramEnd"/>
      <w:r>
        <w:rPr>
          <w:rFonts w:cs="AdvTimes"/>
          <w:szCs w:val="18"/>
        </w:rPr>
        <w:t xml:space="preserve"> are demonstrably not driven by simple self-interest or private profit. Indeed, perhaps especially in Europe, the ‘common citizen’ may </w:t>
      </w:r>
      <w:r w:rsidR="00D27845">
        <w:rPr>
          <w:rFonts w:cs="AdvTimes"/>
          <w:szCs w:val="18"/>
        </w:rPr>
        <w:t xml:space="preserve">be </w:t>
      </w:r>
      <w:r>
        <w:rPr>
          <w:rFonts w:cs="AdvTimes"/>
          <w:szCs w:val="18"/>
        </w:rPr>
        <w:t xml:space="preserve">becoming increasingly suspicious of and antagonistic to either dictatorial control by somewhat unaccountable big government or single-minded self-interested pursuit of profit. As they do so, they naturally seek to ameliorate the workings of the governed market to behave more responsibly. The threats of exposure and embarrassment, and the potential rewards to corporate social responsibility and associated brand loyalty are strong drivers to improved animal welfare as well as other more responsible behaviours in the market, despite the fact that these drivers </w:t>
      </w:r>
      <w:r w:rsidR="002177DB">
        <w:rPr>
          <w:rFonts w:cs="AdvTimes"/>
          <w:szCs w:val="18"/>
        </w:rPr>
        <w:t xml:space="preserve">and their consequences </w:t>
      </w:r>
      <w:r>
        <w:rPr>
          <w:rFonts w:cs="AdvTimes"/>
          <w:szCs w:val="18"/>
        </w:rPr>
        <w:t>are difficult (if not impossible) to demonstrate reliably with conventional scientific research.</w:t>
      </w:r>
      <w:r w:rsidR="002177DB">
        <w:rPr>
          <w:rStyle w:val="FootnoteReference"/>
          <w:szCs w:val="18"/>
        </w:rPr>
        <w:footnoteReference w:id="11"/>
      </w:r>
      <w:r>
        <w:rPr>
          <w:rFonts w:cs="AdvTimes"/>
          <w:szCs w:val="18"/>
        </w:rPr>
        <w:t xml:space="preserve"> </w:t>
      </w:r>
    </w:p>
    <w:p w:rsidR="00FC2ECE" w:rsidRDefault="002177DB" w:rsidP="005831C4">
      <w:pPr>
        <w:spacing w:after="200" w:line="220" w:lineRule="atLeast"/>
        <w:rPr>
          <w:rFonts w:cs="AdvTimes"/>
          <w:szCs w:val="18"/>
        </w:rPr>
      </w:pPr>
      <w:r>
        <w:rPr>
          <w:rFonts w:cs="AdvTimes"/>
          <w:szCs w:val="18"/>
        </w:rPr>
        <w:t>In short, the apparent contest between a legislated approach and a market approach is neither conceptually nor actually a real distinction – both exist and will be pursued in tandem, and furthermore (as this research programme as extensively documented) the evolution of the governed market will produce hybrids between the two as public-private partnerships, cooperation and collaboration.  There is every reason to suppose that these developments will continue, and that ‘public’ policy and ‘intervention’ should seek to promote and assist these developments.</w:t>
      </w:r>
    </w:p>
    <w:p w:rsidR="002177DB" w:rsidRPr="00497892" w:rsidRDefault="002177DB" w:rsidP="005831C4">
      <w:pPr>
        <w:spacing w:after="200" w:line="220" w:lineRule="atLeast"/>
        <w:rPr>
          <w:rFonts w:cs="AdvTimes"/>
          <w:szCs w:val="18"/>
        </w:rPr>
      </w:pPr>
      <w:r>
        <w:rPr>
          <w:rFonts w:cs="AdvTimes"/>
          <w:szCs w:val="18"/>
        </w:rPr>
        <w:t>Nevertheless, there remain strong arguments that more legislation of better standards, and more public effort towards enforcing existing standards are the most</w:t>
      </w:r>
      <w:r w:rsidR="00DF4FBC">
        <w:rPr>
          <w:rFonts w:cs="AdvTimes"/>
          <w:szCs w:val="18"/>
        </w:rPr>
        <w:t xml:space="preserve"> (if not the only) effective methods of substantially </w:t>
      </w:r>
      <w:r>
        <w:rPr>
          <w:rFonts w:cs="AdvTimes"/>
          <w:szCs w:val="18"/>
        </w:rPr>
        <w:t>improving animal welfare</w:t>
      </w:r>
      <w:r w:rsidR="00DF4FBC">
        <w:rPr>
          <w:rFonts w:cs="AdvTimes"/>
          <w:szCs w:val="18"/>
        </w:rPr>
        <w:t>.</w:t>
      </w:r>
      <w:r>
        <w:rPr>
          <w:rFonts w:cs="AdvTimes"/>
          <w:szCs w:val="18"/>
        </w:rPr>
        <w:t xml:space="preserve"> </w:t>
      </w:r>
      <w:r w:rsidR="00DF4FBC">
        <w:rPr>
          <w:rFonts w:cs="AdvTimes"/>
          <w:szCs w:val="18"/>
        </w:rPr>
        <w:t xml:space="preserve">This is, perhaps, particularly the case for the European Commission, which, formally, can only act on the basis of legislation. A responsible socio-economic analysis of this strong pressure towards more and/or better legislation needs to ‘explain’ how this pressure might arise, and what might be the consequences and implications of pursuit of this legislative approach. </w:t>
      </w:r>
      <w:r w:rsidR="00497892">
        <w:rPr>
          <w:rFonts w:cs="AdvTimes"/>
          <w:szCs w:val="18"/>
        </w:rPr>
        <w:t xml:space="preserve">The </w:t>
      </w:r>
      <w:r w:rsidR="00497892">
        <w:rPr>
          <w:rFonts w:cs="AdvTimes"/>
          <w:i/>
          <w:szCs w:val="18"/>
        </w:rPr>
        <w:t>indefiniteness</w:t>
      </w:r>
      <w:r w:rsidR="00497892">
        <w:rPr>
          <w:rFonts w:cs="AdvTimes"/>
          <w:szCs w:val="18"/>
        </w:rPr>
        <w:t xml:space="preserve"> of any collective social/political judgement about appropriate levels of animal welfare cannot be avoided by asserting that regulation and legislation are the solutions to improving levels of animal welfare, as should be clear both from the analysis presented here, and from the diversity of animal welfare initiatives observed and documented in the previous deliverables.</w:t>
      </w:r>
    </w:p>
    <w:p w:rsidR="00DF4FBC" w:rsidRPr="00FA5CC0" w:rsidRDefault="00DF4FBC" w:rsidP="00DF4FBC">
      <w:pPr>
        <w:pStyle w:val="TOCHeading"/>
        <w:rPr>
          <w:i/>
        </w:rPr>
      </w:pPr>
      <w:r>
        <w:rPr>
          <w:i/>
        </w:rPr>
        <w:t xml:space="preserve">Why is there a presumption in </w:t>
      </w:r>
      <w:proofErr w:type="spellStart"/>
      <w:r>
        <w:rPr>
          <w:i/>
        </w:rPr>
        <w:t>favour</w:t>
      </w:r>
      <w:proofErr w:type="spellEnd"/>
      <w:r>
        <w:rPr>
          <w:i/>
        </w:rPr>
        <w:t xml:space="preserve"> of legislation? Policy Pressures and Evolution</w:t>
      </w:r>
    </w:p>
    <w:p w:rsidR="00DF4FBC" w:rsidRDefault="00DF4FBC" w:rsidP="00DF4FBC">
      <w:pPr>
        <w:spacing w:after="200" w:line="220" w:lineRule="atLeast"/>
        <w:rPr>
          <w:szCs w:val="20"/>
        </w:rPr>
      </w:pPr>
      <w:r>
        <w:rPr>
          <w:szCs w:val="20"/>
        </w:rPr>
        <w:t xml:space="preserve">Notwithstanding the logical presumption outlined above in favour of </w:t>
      </w:r>
      <w:r w:rsidRPr="00497892">
        <w:rPr>
          <w:i/>
          <w:szCs w:val="20"/>
        </w:rPr>
        <w:t>market</w:t>
      </w:r>
      <w:r>
        <w:rPr>
          <w:szCs w:val="20"/>
        </w:rPr>
        <w:t xml:space="preserve"> rather than </w:t>
      </w:r>
      <w:r w:rsidRPr="00497892">
        <w:rPr>
          <w:i/>
          <w:szCs w:val="20"/>
        </w:rPr>
        <w:t>government</w:t>
      </w:r>
      <w:r>
        <w:rPr>
          <w:szCs w:val="20"/>
        </w:rPr>
        <w:t xml:space="preserve"> approaches to animal welfare issues, it is obviously apparent that the real world does not</w:t>
      </w:r>
      <w:r w:rsidR="00497892">
        <w:rPr>
          <w:szCs w:val="20"/>
        </w:rPr>
        <w:t xml:space="preserve"> (yet)</w:t>
      </w:r>
      <w:r>
        <w:rPr>
          <w:szCs w:val="20"/>
        </w:rPr>
        <w:t xml:space="preserve"> agree with this prescription. There is continual pressure for more legislation for improved animal welfare standards, especially from the minority of the </w:t>
      </w:r>
      <w:proofErr w:type="gramStart"/>
      <w:r>
        <w:rPr>
          <w:szCs w:val="20"/>
        </w:rPr>
        <w:t>population which</w:t>
      </w:r>
      <w:proofErr w:type="gramEnd"/>
      <w:r>
        <w:rPr>
          <w:szCs w:val="20"/>
        </w:rPr>
        <w:t xml:space="preserve"> considers these issues to be of primary importance. An explanation lies in the behaviour of the political economy complex.</w:t>
      </w:r>
    </w:p>
    <w:p w:rsidR="00DF4FBC" w:rsidRDefault="00DF4FBC" w:rsidP="00DF4FBC">
      <w:pPr>
        <w:spacing w:after="200" w:line="220" w:lineRule="atLeast"/>
        <w:rPr>
          <w:szCs w:val="20"/>
        </w:rPr>
      </w:pPr>
      <w:r>
        <w:rPr>
          <w:szCs w:val="20"/>
        </w:rPr>
        <w:t xml:space="preserve">Although there are competing theories of political economy, a general outline is as follows. The process of economic development necessarily involves a relative decline in agriculture – as people become richer, so they spend a declining fraction of their incomes on food, so fewer people can earn a full time living from producing food. Development involves a shift from predominantly agrarian economies to industrial, and then service economies. The </w:t>
      </w:r>
      <w:proofErr w:type="gramStart"/>
      <w:r>
        <w:rPr>
          <w:szCs w:val="20"/>
        </w:rPr>
        <w:t>economic pressures on farms and farmers are exacerbated by the increased share of the consumer spending which is absorbed by the processing, distribution and retail chain, as consumers seek to satisfy their demand for convenience and service</w:t>
      </w:r>
      <w:proofErr w:type="gramEnd"/>
      <w:r>
        <w:rPr>
          <w:szCs w:val="20"/>
        </w:rPr>
        <w:t xml:space="preserve">. The end result is the economic development appears to substantially disadvantage the farm sector. Furthermore, farming is the archetypical atomistic market – a very close approximation to the economist’s condition of ‘perfect competition’.  Farmers cannot control the prices of their </w:t>
      </w:r>
      <w:proofErr w:type="gramStart"/>
      <w:r>
        <w:rPr>
          <w:szCs w:val="20"/>
        </w:rPr>
        <w:t>products,</w:t>
      </w:r>
      <w:proofErr w:type="gramEnd"/>
      <w:r>
        <w:rPr>
          <w:szCs w:val="20"/>
        </w:rPr>
        <w:t xml:space="preserve"> they are at the mercy of the market. In addition, they are also obviously at the mercy of the weather and pests and diseases. </w:t>
      </w:r>
    </w:p>
    <w:p w:rsidR="001141DE" w:rsidRDefault="00DF4FBC" w:rsidP="00DF4FBC">
      <w:pPr>
        <w:spacing w:after="200" w:line="220" w:lineRule="atLeast"/>
        <w:rPr>
          <w:szCs w:val="20"/>
        </w:rPr>
      </w:pPr>
      <w:r>
        <w:rPr>
          <w:szCs w:val="20"/>
        </w:rPr>
        <w:t xml:space="preserve">Many people, especially in the ‘old world’ such as Europe, have strong family connections and histories with farming. As recently as the 1950s, more than 30% of the population of France, for instance, was still engaged in farming. In democracies, especially, such constituent sympathy and respect for farming amongst the non-farm population guarantees farm support. Furthermore, securing food supplies is an essential and fundamental part of social sustainability and a clear government responsibility. </w:t>
      </w:r>
    </w:p>
    <w:p w:rsidR="00DF4FBC" w:rsidRDefault="00DF4FBC" w:rsidP="00DF4FBC">
      <w:pPr>
        <w:spacing w:after="200" w:line="220" w:lineRule="atLeast"/>
        <w:rPr>
          <w:szCs w:val="20"/>
        </w:rPr>
      </w:pPr>
      <w:r>
        <w:rPr>
          <w:szCs w:val="20"/>
        </w:rPr>
        <w:t>I</w:t>
      </w:r>
      <w:r w:rsidR="00AD219C">
        <w:rPr>
          <w:szCs w:val="20"/>
        </w:rPr>
        <w:t xml:space="preserve">t is </w:t>
      </w:r>
      <w:r>
        <w:rPr>
          <w:szCs w:val="20"/>
        </w:rPr>
        <w:t xml:space="preserve">no surprise that farm policies emerge in such conditions, nor that these policies should be both substantially supportive and protective of the farming industry. The EU’s Common Agricultural Policy was neither an accident nor an exercise of minority pressure against the social interest.  </w:t>
      </w:r>
      <w:r w:rsidR="00AD219C">
        <w:rPr>
          <w:szCs w:val="20"/>
        </w:rPr>
        <w:t>Nevertheless,</w:t>
      </w:r>
      <w:r>
        <w:rPr>
          <w:szCs w:val="20"/>
        </w:rPr>
        <w:t xml:space="preserve"> neither policy nor the real world is static. Both respond to the new signals and consequences. Under substantial support and protection from external competition, EU (15) agriculture expanded and intensified, as would be expected. Consumer demand, however, remained relatively stagnant. The consequence was surplus – growing stocks of unsold butter, olive oil and wine; costly export subsidies to remove surplus cereals from the domestic EU market, and a growing cost of farm support to the EU budget and taxpayer. Furthermore, the support and protection did not appear to be solving either the problems of low farm incomes, or the rapid exodus of farmers from the industry</w:t>
      </w:r>
      <w:r w:rsidR="00AD219C">
        <w:rPr>
          <w:szCs w:val="20"/>
        </w:rPr>
        <w:t>,</w:t>
      </w:r>
      <w:r>
        <w:rPr>
          <w:szCs w:val="20"/>
        </w:rPr>
        <w:t xml:space="preserve"> </w:t>
      </w:r>
      <w:r w:rsidR="00497892">
        <w:rPr>
          <w:szCs w:val="20"/>
        </w:rPr>
        <w:t xml:space="preserve">which are </w:t>
      </w:r>
      <w:r>
        <w:rPr>
          <w:szCs w:val="20"/>
        </w:rPr>
        <w:t>both symptom</w:t>
      </w:r>
      <w:r w:rsidR="00497892">
        <w:rPr>
          <w:szCs w:val="20"/>
        </w:rPr>
        <w:t>s</w:t>
      </w:r>
      <w:r>
        <w:rPr>
          <w:szCs w:val="20"/>
        </w:rPr>
        <w:t xml:space="preserve"> and consequence</w:t>
      </w:r>
      <w:r w:rsidR="00497892">
        <w:rPr>
          <w:szCs w:val="20"/>
        </w:rPr>
        <w:t>s</w:t>
      </w:r>
      <w:r>
        <w:rPr>
          <w:szCs w:val="20"/>
        </w:rPr>
        <w:t xml:space="preserve"> of the process of economic development.  In addition, and critically, the EU’s farm policy of protection and support began to have serious effects on our world trading partners – both undermining their prices through subsidised dumping of EU surpluses on world markets, and preventing their exports from finding markets in Europe. Since trade is a two-way process – there is no point in exporting unless one also wants to import – the EU found itself in danger of undermining its capacity to export industrial and commercial goods and services to the rest of the world. Something had to change.</w:t>
      </w:r>
    </w:p>
    <w:p w:rsidR="00DF4FBC" w:rsidRDefault="00DF4FBC" w:rsidP="00DF4FBC">
      <w:pPr>
        <w:spacing w:after="200" w:line="220" w:lineRule="atLeast"/>
        <w:rPr>
          <w:szCs w:val="20"/>
        </w:rPr>
      </w:pPr>
      <w:r>
        <w:rPr>
          <w:szCs w:val="20"/>
        </w:rPr>
        <w:t>A very similar condition of farm policy had also developed in the US, though with substantial differences given the context and conditions in North America. Their farm policy was also strongly supportive, but not protective (since the US is a natural exporter, it needed to encourage rather than restrict trade). But the US policy, too, was becoming unsustainably expensive because of depressed world prices. Again (with the benefit of hindsight) the international negotiations on agricultural policies under the GATT Uruguay Round were no surprise. The result (the Uruguay Round Agreement on Agriculture) began a process of removing the protection of domestic agriculture from international competition around that world, and of ‘de-coupling’ support from production – to remove the artificial incentives to domestic production and the potential to generate unsalable surpluses.</w:t>
      </w:r>
    </w:p>
    <w:p w:rsidR="00DF4FBC" w:rsidRDefault="00DF4FBC" w:rsidP="00DF4FBC">
      <w:pPr>
        <w:spacing w:after="200" w:line="220" w:lineRule="atLeast"/>
        <w:rPr>
          <w:szCs w:val="20"/>
        </w:rPr>
      </w:pPr>
      <w:r>
        <w:rPr>
          <w:szCs w:val="20"/>
        </w:rPr>
        <w:t>Meanwhile, the industrialisation and intensification of agriculture under supported and protected conditions had relatively obvious consequences both for the European rural environment and for animal welfare.  The effective price signals to EU farmers under support did not place any weight on animal welfare (beyond the statutory minima), encouraging the industry towards the intensive (and lower welfare) end of the production possibility frontier (Figure 1 above). A progressively richer and better-informed consumer and citizen population began to demand both better care of the environment and improved animal welfare. Since the farm population had become dependent on support, and still retained some electoral and constituent sympathy, the obvious step was to substitute environmental protection (and also improved animal welfare) for food security as the major reasons for continued farm support. In addition, the history of government intervention in agriculture had generated the common presumption that both public spending and legislation are the only practical and sensible responses to emerging social issues, such as animal welfare.  We are where we are because of both our natures and nurtures.</w:t>
      </w:r>
    </w:p>
    <w:p w:rsidR="001C17DE" w:rsidRDefault="00DF4FBC">
      <w:pPr>
        <w:pStyle w:val="TOCHeading"/>
        <w:rPr>
          <w:i/>
        </w:rPr>
      </w:pPr>
      <w:r>
        <w:rPr>
          <w:i/>
        </w:rPr>
        <w:t>Implications of a legislative approach</w:t>
      </w:r>
    </w:p>
    <w:p w:rsidR="00DF4FBC" w:rsidRDefault="00C50D72" w:rsidP="00DF4FBC">
      <w:pPr>
        <w:spacing w:after="200" w:line="220" w:lineRule="atLeast"/>
      </w:pPr>
      <w:r>
        <w:t>T</w:t>
      </w:r>
      <w:r w:rsidR="00DF4FBC">
        <w:t>h</w:t>
      </w:r>
      <w:r>
        <w:t>e above</w:t>
      </w:r>
      <w:r w:rsidR="00DF4FBC">
        <w:t xml:space="preserve"> explanation does not</w:t>
      </w:r>
      <w:r>
        <w:t>, however,</w:t>
      </w:r>
      <w:r w:rsidR="00DF4FBC">
        <w:t xml:space="preserve"> cover all the reasons </w:t>
      </w:r>
      <w:r>
        <w:t xml:space="preserve">for </w:t>
      </w:r>
      <w:r w:rsidR="00DF4FBC">
        <w:t xml:space="preserve">why improved legislation is favoured as a major route </w:t>
      </w:r>
      <w:r w:rsidR="00723A6F">
        <w:t>towards improved animal welfare. I</w:t>
      </w:r>
      <w:r w:rsidR="00DF4FBC">
        <w:t>t only indicates that there may be a predisposition</w:t>
      </w:r>
      <w:r w:rsidR="00723A6F">
        <w:t xml:space="preserve"> (path dependence)</w:t>
      </w:r>
      <w:r w:rsidR="00DF4FBC">
        <w:t xml:space="preserve"> towards using a legislative (and associated compensatory) approach. Whatever the history of agricultural (and food chain) policies, there would still be a presumption in favour of political (social) control and government of market behaviours.</w:t>
      </w:r>
      <w:r w:rsidR="00723A6F">
        <w:t xml:space="preserve"> Economics, commercial interests and</w:t>
      </w:r>
      <w:r w:rsidR="00497892">
        <w:t xml:space="preserve"> </w:t>
      </w:r>
      <w:r w:rsidR="00723A6F">
        <w:t xml:space="preserve">rationally ignorant consumers must be subservient to the ‘public interest’, which can only be resolved through government action and regulation. Our health and safety laws are an obvious example, and can equally obviously be extended to animal welfare. </w:t>
      </w:r>
    </w:p>
    <w:p w:rsidR="00723A6F" w:rsidRDefault="00723A6F" w:rsidP="00DF4FBC">
      <w:pPr>
        <w:spacing w:after="200" w:line="220" w:lineRule="atLeast"/>
      </w:pPr>
      <w:r>
        <w:t>As pointed out above, absence of cruelty (enforced regulation) is a clear ‘public good’ – once provided for one, it is necessarily provided for all. Furthermore, it is to be expected that society will become more concerned about animal welfare as it becomes richer and more secure about its food supplies. There is every reason to suppose that social/political judgements about the boundary between acceptable and unacceptable cruelty to animals will develop and evolve over time, progressively shifting the boundary to</w:t>
      </w:r>
      <w:r w:rsidR="00497892">
        <w:t xml:space="preserve">wards improved animal welfare. </w:t>
      </w:r>
      <w:r>
        <w:t xml:space="preserve">Indeed, as already shown in this research, our history demonstrates this progression. </w:t>
      </w:r>
      <w:r w:rsidR="00497892">
        <w:t>Is there any</w:t>
      </w:r>
      <w:r>
        <w:t xml:space="preserve"> reason why we should question or stop this natural progression</w:t>
      </w:r>
      <w:r w:rsidR="00497892">
        <w:t>?</w:t>
      </w:r>
    </w:p>
    <w:p w:rsidR="00723A6F" w:rsidRPr="00DF4FBC" w:rsidRDefault="001F2D18" w:rsidP="00DF4FBC">
      <w:pPr>
        <w:spacing w:after="200" w:line="220" w:lineRule="atLeast"/>
      </w:pPr>
      <w:r>
        <w:t>Accepting this, however, requires that we consider the mechanisms through which such ethological decisions are made. In the same way that markets are never perfect, neither are our political and democratic systems. The ‘democratic deficit’ of the European Union (and even of each member st</w:t>
      </w:r>
      <w:r w:rsidR="001971DF">
        <w:t xml:space="preserve">ate) remains a cause of concern (e.g. </w:t>
      </w:r>
      <w:proofErr w:type="spellStart"/>
      <w:r w:rsidR="001971DF">
        <w:t>Follesdal</w:t>
      </w:r>
      <w:proofErr w:type="spellEnd"/>
      <w:r w:rsidR="001971DF">
        <w:t xml:space="preserve"> and </w:t>
      </w:r>
      <w:proofErr w:type="spellStart"/>
      <w:r w:rsidR="001971DF">
        <w:t>Hix</w:t>
      </w:r>
      <w:proofErr w:type="spellEnd"/>
      <w:r w:rsidR="001971DF">
        <w:t xml:space="preserve">, 2006). Political </w:t>
      </w:r>
      <w:proofErr w:type="gramStart"/>
      <w:r w:rsidR="001971DF">
        <w:t>debate, and eventual decisions, seldom if ever</w:t>
      </w:r>
      <w:r w:rsidR="00C50D72">
        <w:t>,</w:t>
      </w:r>
      <w:r w:rsidR="001971DF">
        <w:t xml:space="preserve"> engage</w:t>
      </w:r>
      <w:proofErr w:type="gramEnd"/>
      <w:r w:rsidR="001971DF">
        <w:t xml:space="preserve"> civil society directly – for similar reasons to th</w:t>
      </w:r>
      <w:r w:rsidR="00C50D72">
        <w:t>ose</w:t>
      </w:r>
      <w:r w:rsidR="001971DF">
        <w:t xml:space="preserve"> identified above </w:t>
      </w:r>
      <w:r w:rsidR="00D07979">
        <w:t xml:space="preserve">for the gap between citizen attitudes and behaviour (rational ignorance and competing claims of peoples’ time and effort). It makes perfect sense to delegate social responsibility to professional politicians, serviced by a professional </w:t>
      </w:r>
      <w:r w:rsidR="00080CFB">
        <w:t>executive</w:t>
      </w:r>
      <w:r w:rsidR="00D07979">
        <w:t xml:space="preserve">. </w:t>
      </w:r>
      <w:r w:rsidR="00080CFB">
        <w:t>P</w:t>
      </w:r>
      <w:r w:rsidR="00D07979">
        <w:t xml:space="preserve">rofessional politicians </w:t>
      </w:r>
      <w:r w:rsidR="00080CFB">
        <w:t xml:space="preserve">tend to </w:t>
      </w:r>
      <w:r w:rsidR="00D07979">
        <w:t>act on a continuum between</w:t>
      </w:r>
      <w:r w:rsidR="00594076">
        <w:t xml:space="preserve"> being</w:t>
      </w:r>
      <w:r w:rsidR="00D07979">
        <w:t xml:space="preserve"> </w:t>
      </w:r>
      <w:r w:rsidR="00D22AE1" w:rsidRPr="00D22AE1">
        <w:rPr>
          <w:i/>
        </w:rPr>
        <w:t>representatives</w:t>
      </w:r>
      <w:r w:rsidR="00D07979">
        <w:t xml:space="preserve"> of ‘popular opinion’ and </w:t>
      </w:r>
      <w:r w:rsidR="00D22AE1" w:rsidRPr="00D22AE1">
        <w:rPr>
          <w:i/>
        </w:rPr>
        <w:t>delegates</w:t>
      </w:r>
      <w:r w:rsidR="00D07979">
        <w:t xml:space="preserve"> charged with protecting and enhancing the ‘public interest’. Not surprisingly, they become </w:t>
      </w:r>
      <w:r w:rsidR="00594076">
        <w:t>targets for lobby groups, representing vested interests, advocacy groups, citizen and business complaints and demands for redress, compensation and public support. Since the salience of any given issue (such as animal welfare) varies very widely across the whole population, it is typically those most concerned (either as potential beneficiaries or as being potentially harmed) who dominate the political debate, which tends to ‘degenerate’ into antagonistic and adversarial dispute as a consequence. It is very difficult for any modern democracy, however constituted, to avoid this adversarial trap</w:t>
      </w:r>
      <w:r w:rsidR="005B1111">
        <w:t xml:space="preserve"> (e.g.</w:t>
      </w:r>
      <w:r w:rsidR="009451D1">
        <w:t xml:space="preserve"> </w:t>
      </w:r>
      <w:proofErr w:type="spellStart"/>
      <w:r w:rsidR="009451D1">
        <w:t>Beyers</w:t>
      </w:r>
      <w:proofErr w:type="spellEnd"/>
      <w:r w:rsidR="009451D1">
        <w:t xml:space="preserve"> and </w:t>
      </w:r>
      <w:proofErr w:type="spellStart"/>
      <w:r w:rsidR="009451D1">
        <w:t>Kerremans</w:t>
      </w:r>
      <w:proofErr w:type="spellEnd"/>
      <w:r w:rsidR="009451D1">
        <w:t>, 2004</w:t>
      </w:r>
      <w:r w:rsidR="00C50D72">
        <w:t xml:space="preserve"> and</w:t>
      </w:r>
      <w:r w:rsidR="00C50D72" w:rsidRPr="00C50D72">
        <w:t xml:space="preserve"> </w:t>
      </w:r>
      <w:proofErr w:type="spellStart"/>
      <w:r w:rsidR="00C50D72">
        <w:t>Lohman</w:t>
      </w:r>
      <w:proofErr w:type="spellEnd"/>
      <w:r w:rsidR="00C50D72">
        <w:t>, 2003,</w:t>
      </w:r>
      <w:r w:rsidR="005B1111">
        <w:t>)</w:t>
      </w:r>
      <w:r w:rsidR="00594076">
        <w:t xml:space="preserve">. </w:t>
      </w:r>
    </w:p>
    <w:p w:rsidR="001971DF" w:rsidRDefault="005B1111" w:rsidP="005831C4">
      <w:pPr>
        <w:spacing w:after="200" w:line="220" w:lineRule="atLeast"/>
        <w:rPr>
          <w:rFonts w:cs="AdvTimes"/>
          <w:szCs w:val="18"/>
        </w:rPr>
      </w:pPr>
      <w:r>
        <w:rPr>
          <w:rFonts w:cs="AdvTimes"/>
          <w:szCs w:val="18"/>
        </w:rPr>
        <w:t>As a consequence, and in its most simplistic terms, political debate tends to degenerate into</w:t>
      </w:r>
      <w:r w:rsidR="00936A55">
        <w:rPr>
          <w:rFonts w:cs="AdvTimes"/>
          <w:szCs w:val="18"/>
        </w:rPr>
        <w:t xml:space="preserve"> either ‘protection of vested or established interests at others’ expense’ – the expected political economy failure</w:t>
      </w:r>
      <w:r>
        <w:rPr>
          <w:rFonts w:cs="AdvTimes"/>
          <w:szCs w:val="18"/>
        </w:rPr>
        <w:t>, according to conventional political economy analysis</w:t>
      </w:r>
      <w:r w:rsidR="00936A55">
        <w:rPr>
          <w:rFonts w:cs="AdvTimes"/>
          <w:szCs w:val="18"/>
        </w:rPr>
        <w:t xml:space="preserve"> - or ‘imposition of minority judgments about socio-economic behaviour over and above the judgments of the majority’ – the ethological imperative. </w:t>
      </w:r>
      <w:r>
        <w:rPr>
          <w:rFonts w:cs="AdvTimes"/>
          <w:szCs w:val="18"/>
        </w:rPr>
        <w:t>T</w:t>
      </w:r>
      <w:r w:rsidR="00936A55" w:rsidRPr="005B1111">
        <w:rPr>
          <w:rFonts w:cs="AdvTimes"/>
          <w:szCs w:val="18"/>
        </w:rPr>
        <w:t xml:space="preserve">he findings of our consultations with the chain actors, animal experts and society representatives in </w:t>
      </w:r>
      <w:proofErr w:type="spellStart"/>
      <w:r w:rsidR="00936A55" w:rsidRPr="005B1111">
        <w:rPr>
          <w:rFonts w:cs="AdvTimes"/>
          <w:szCs w:val="18"/>
        </w:rPr>
        <w:t>WPs</w:t>
      </w:r>
      <w:proofErr w:type="spellEnd"/>
      <w:r w:rsidR="00936A55" w:rsidRPr="005B1111">
        <w:rPr>
          <w:rFonts w:cs="AdvTimes"/>
          <w:szCs w:val="18"/>
        </w:rPr>
        <w:t xml:space="preserve"> 1, 2 and 3, </w:t>
      </w:r>
      <w:r>
        <w:rPr>
          <w:rFonts w:cs="AdvTimes"/>
          <w:szCs w:val="18"/>
        </w:rPr>
        <w:t>need to be interpreted in the light of</w:t>
      </w:r>
      <w:r w:rsidR="00936A55" w:rsidRPr="005B1111">
        <w:rPr>
          <w:rFonts w:cs="AdvTimes"/>
          <w:szCs w:val="18"/>
        </w:rPr>
        <w:t xml:space="preserve"> the fact that we have only consulted the ‘experts’ and ‘vested int</w:t>
      </w:r>
      <w:r>
        <w:rPr>
          <w:rFonts w:cs="AdvTimes"/>
          <w:szCs w:val="18"/>
        </w:rPr>
        <w:t xml:space="preserve">erests’, not society as a whole. </w:t>
      </w:r>
      <w:r w:rsidR="00936A55" w:rsidRPr="005B1111">
        <w:rPr>
          <w:rFonts w:cs="AdvTimes"/>
          <w:szCs w:val="18"/>
        </w:rPr>
        <w:t xml:space="preserve"> </w:t>
      </w:r>
      <w:r>
        <w:rPr>
          <w:rFonts w:cs="AdvTimes"/>
          <w:szCs w:val="18"/>
        </w:rPr>
        <w:t xml:space="preserve">As a result, we might expect that </w:t>
      </w:r>
      <w:r w:rsidR="00936A55" w:rsidRPr="005B1111">
        <w:rPr>
          <w:rFonts w:cs="AdvTimes"/>
          <w:szCs w:val="18"/>
        </w:rPr>
        <w:t>the judgm</w:t>
      </w:r>
      <w:r>
        <w:rPr>
          <w:rFonts w:cs="AdvTimes"/>
          <w:szCs w:val="18"/>
        </w:rPr>
        <w:t xml:space="preserve">ents and responses tend to be dominated by expert and professional </w:t>
      </w:r>
      <w:proofErr w:type="spellStart"/>
      <w:r>
        <w:rPr>
          <w:rFonts w:cs="AdvTimes"/>
          <w:szCs w:val="18"/>
        </w:rPr>
        <w:t>ethologists</w:t>
      </w:r>
      <w:proofErr w:type="spellEnd"/>
      <w:r>
        <w:rPr>
          <w:rFonts w:cs="AdvTimes"/>
          <w:szCs w:val="18"/>
        </w:rPr>
        <w:t xml:space="preserve"> values and perception on the one hand and</w:t>
      </w:r>
      <w:r w:rsidR="00936A55" w:rsidRPr="005B1111">
        <w:rPr>
          <w:rFonts w:cs="AdvTimes"/>
          <w:szCs w:val="18"/>
        </w:rPr>
        <w:t xml:space="preserve"> </w:t>
      </w:r>
      <w:r>
        <w:rPr>
          <w:rFonts w:cs="AdvTimes"/>
          <w:szCs w:val="18"/>
        </w:rPr>
        <w:t>by</w:t>
      </w:r>
      <w:r w:rsidR="00936A55" w:rsidRPr="005B1111">
        <w:rPr>
          <w:rFonts w:cs="AdvTimes"/>
          <w:szCs w:val="18"/>
        </w:rPr>
        <w:t xml:space="preserve"> vested interests</w:t>
      </w:r>
      <w:r>
        <w:rPr>
          <w:rFonts w:cs="AdvTimes"/>
          <w:szCs w:val="18"/>
        </w:rPr>
        <w:t xml:space="preserve"> on the other</w:t>
      </w:r>
      <w:r w:rsidR="00936A55" w:rsidRPr="005B1111">
        <w:rPr>
          <w:rFonts w:cs="AdvTimes"/>
          <w:szCs w:val="18"/>
        </w:rPr>
        <w:t>.</w:t>
      </w:r>
      <w:r w:rsidR="00497892">
        <w:rPr>
          <w:rFonts w:cs="AdvTimes"/>
          <w:szCs w:val="18"/>
        </w:rPr>
        <w:t xml:space="preserve"> However, v</w:t>
      </w:r>
      <w:r>
        <w:rPr>
          <w:rFonts w:cs="AdvTimes"/>
          <w:szCs w:val="18"/>
        </w:rPr>
        <w:t xml:space="preserve">ested interests will </w:t>
      </w:r>
      <w:r w:rsidR="00497892">
        <w:rPr>
          <w:rFonts w:cs="AdvTimes"/>
          <w:szCs w:val="18"/>
        </w:rPr>
        <w:t xml:space="preserve">not </w:t>
      </w:r>
      <w:r>
        <w:rPr>
          <w:rFonts w:cs="AdvTimes"/>
          <w:szCs w:val="18"/>
        </w:rPr>
        <w:t xml:space="preserve">always and necessarily </w:t>
      </w:r>
      <w:proofErr w:type="gramStart"/>
      <w:r>
        <w:rPr>
          <w:rFonts w:cs="AdvTimes"/>
          <w:szCs w:val="18"/>
        </w:rPr>
        <w:t>be</w:t>
      </w:r>
      <w:proofErr w:type="gramEnd"/>
      <w:r>
        <w:rPr>
          <w:rFonts w:cs="AdvTimes"/>
          <w:szCs w:val="18"/>
        </w:rPr>
        <w:t xml:space="preserve"> against the ethological positions towards higher legislative standards for animal welfare. If the state can be persuaded to take on the responsibility for protection and improvement of animal welfare, especially at someone else’s expense and effort, why should primary stakeholders object? There is a strong potential for public (state) action to ‘crowd </w:t>
      </w:r>
      <w:r w:rsidR="00DD4D49">
        <w:rPr>
          <w:rFonts w:cs="AdvTimes"/>
          <w:szCs w:val="18"/>
        </w:rPr>
        <w:t>out’ private initiatives (</w:t>
      </w:r>
      <w:proofErr w:type="spellStart"/>
      <w:r w:rsidR="00DD4D49">
        <w:rPr>
          <w:rFonts w:cs="AdvTimes"/>
          <w:szCs w:val="18"/>
        </w:rPr>
        <w:t>Codron</w:t>
      </w:r>
      <w:proofErr w:type="spellEnd"/>
      <w:r w:rsidR="00DD4D49">
        <w:rPr>
          <w:rFonts w:cs="AdvTimes"/>
          <w:szCs w:val="18"/>
        </w:rPr>
        <w:t xml:space="preserve"> </w:t>
      </w:r>
      <w:r w:rsidR="00DD4D49">
        <w:rPr>
          <w:rFonts w:cs="AdvTimes"/>
          <w:i/>
          <w:szCs w:val="18"/>
        </w:rPr>
        <w:t>et al.</w:t>
      </w:r>
      <w:r w:rsidR="00DD4D49">
        <w:rPr>
          <w:rFonts w:cs="AdvTimes"/>
          <w:szCs w:val="18"/>
        </w:rPr>
        <w:t>, 2005).</w:t>
      </w:r>
    </w:p>
    <w:p w:rsidR="00DD4D49" w:rsidRPr="00DD4D49" w:rsidRDefault="00DD4D49" w:rsidP="005831C4">
      <w:pPr>
        <w:spacing w:after="200" w:line="220" w:lineRule="atLeast"/>
        <w:rPr>
          <w:rFonts w:cs="AdvTimes"/>
          <w:szCs w:val="18"/>
        </w:rPr>
      </w:pPr>
      <w:r>
        <w:rPr>
          <w:rFonts w:cs="AdvTimes"/>
          <w:szCs w:val="18"/>
        </w:rPr>
        <w:t>Seen in this light, there is little real difference between the ‘market’ and the ‘state’ in determining the most appropriate and supposedly beneficial policies and strategies towards, in this case, improved animal welfare. Both engage, albeit in different ways, in implicit ‘cost/benefit’ analysis of options and attempt to determine the best options as a result.</w:t>
      </w:r>
      <w:r w:rsidR="00072692">
        <w:rPr>
          <w:rFonts w:cs="AdvTimes"/>
          <w:szCs w:val="18"/>
        </w:rPr>
        <w:t xml:space="preserve"> In the last resort, the only real difference is that the political process uses votes (and political party subscriptions and support) as the medium of exchange in making the trade-offs between gains and losses, while the market uses money (as the reflection of incomes, </w:t>
      </w:r>
      <w:proofErr w:type="spellStart"/>
      <w:r w:rsidR="00072692">
        <w:rPr>
          <w:rFonts w:cs="AdvTimes"/>
          <w:szCs w:val="18"/>
        </w:rPr>
        <w:t>WTPs</w:t>
      </w:r>
      <w:proofErr w:type="spellEnd"/>
      <w:r w:rsidR="00072692">
        <w:rPr>
          <w:rFonts w:cs="AdvTimes"/>
          <w:szCs w:val="18"/>
        </w:rPr>
        <w:t xml:space="preserve"> and commercial profit and loss accounts). Neither can claim unambiguous primacy as adequate reflections of ‘real’ public interest or civic support. Both are needed, and the real world clearly both accepts and believes this, since our modern mixed political economies reflect and exhibit increasingly sophisticated combinations, and hybrid progenies of both social choice approaches.</w:t>
      </w:r>
    </w:p>
    <w:p w:rsidR="006D6CAF" w:rsidRDefault="001971DF" w:rsidP="005831C4">
      <w:pPr>
        <w:spacing w:after="200" w:line="220" w:lineRule="atLeast"/>
      </w:pPr>
      <w:r>
        <w:t>Nevertheless, a responsible socio-economic analysis cannot help but point out that any regulation can only be judged to be ‘good’ if society as a whole judges the gains resulting from the regulation to more than offset any associated costs and disadvantages.</w:t>
      </w:r>
    </w:p>
    <w:p w:rsidR="006D6CAF" w:rsidRPr="00992DFC" w:rsidRDefault="006D6CAF" w:rsidP="006D6CAF">
      <w:pPr>
        <w:pStyle w:val="TOCHeading"/>
        <w:rPr>
          <w:i/>
        </w:rPr>
      </w:pPr>
      <w:r>
        <w:rPr>
          <w:i/>
        </w:rPr>
        <w:t>Policy Implications</w:t>
      </w:r>
    </w:p>
    <w:p w:rsidR="006D6CAF" w:rsidRDefault="006D6CAF" w:rsidP="006D6CAF">
      <w:pPr>
        <w:spacing w:after="200" w:line="220" w:lineRule="atLeast"/>
        <w:rPr>
          <w:szCs w:val="20"/>
        </w:rPr>
      </w:pPr>
      <w:r>
        <w:rPr>
          <w:szCs w:val="20"/>
        </w:rPr>
        <w:t>The ‘natural’ evolution of policy against this background is clear. It is apparently easy to argue that society (taxpayers) should subsidise improved animal welfare, since the free-rider problem is too large to be solved by individual or voluntary collective action.  One might expect producers to argue strongly in favour of public subsidy for improved animal welfare – if citizens want better animal welfare, they should be willing to pay for it. In addition, European farmers have become accustomed to public subsidy for their activities and somewhat naturally regard them as just and proper recompense for the various social or public goods they provide which the markets (in practice) do not pay for. However, at least some farmers are also becoming irritated by the extent of bureaucracy and official form filling and regulation of their businesses</w:t>
      </w:r>
      <w:r w:rsidR="00223018">
        <w:rPr>
          <w:szCs w:val="20"/>
        </w:rPr>
        <w:t xml:space="preserve"> (Hubbard et al, 2007)</w:t>
      </w:r>
      <w:r>
        <w:rPr>
          <w:szCs w:val="20"/>
        </w:rPr>
        <w:t>. There is no longer a uniform farm lobby (if there ever was), and many farmers and their representatives are considerably more sophisticated in their views of what can and should be done to improve animal welfare</w:t>
      </w:r>
      <w:r w:rsidR="00887066">
        <w:rPr>
          <w:szCs w:val="20"/>
        </w:rPr>
        <w:t xml:space="preserve"> (as demonstrated in</w:t>
      </w:r>
      <w:r w:rsidR="00497892">
        <w:rPr>
          <w:szCs w:val="20"/>
        </w:rPr>
        <w:t>, e.g.,</w:t>
      </w:r>
      <w:r w:rsidR="00887066">
        <w:rPr>
          <w:szCs w:val="20"/>
        </w:rPr>
        <w:t xml:space="preserve"> D2.</w:t>
      </w:r>
      <w:r w:rsidR="00223018">
        <w:rPr>
          <w:szCs w:val="20"/>
        </w:rPr>
        <w:t>1</w:t>
      </w:r>
      <w:r w:rsidR="00887066">
        <w:rPr>
          <w:szCs w:val="20"/>
        </w:rPr>
        <w:t xml:space="preserve"> and 3.</w:t>
      </w:r>
      <w:r w:rsidR="00223018">
        <w:rPr>
          <w:szCs w:val="20"/>
        </w:rPr>
        <w:t>4</w:t>
      </w:r>
      <w:r w:rsidR="00887066">
        <w:rPr>
          <w:szCs w:val="20"/>
        </w:rPr>
        <w:t>)</w:t>
      </w:r>
      <w:r>
        <w:rPr>
          <w:szCs w:val="20"/>
        </w:rPr>
        <w:t>.</w:t>
      </w:r>
    </w:p>
    <w:p w:rsidR="006D6CAF" w:rsidRDefault="006D6CAF" w:rsidP="006D6CAF">
      <w:pPr>
        <w:spacing w:after="200" w:line="220" w:lineRule="atLeast"/>
        <w:rPr>
          <w:szCs w:val="20"/>
        </w:rPr>
      </w:pPr>
      <w:r>
        <w:rPr>
          <w:szCs w:val="20"/>
        </w:rPr>
        <w:t>Citizens have also become accustomed to the idea of public support, at taxpayers expense, for farmers. It seems obvious that the present CAP can provide a suitable vehicle for public compensation for farmers to provide better animal welfare, and also (perhaps) the necessary stick to ensure that they do treat their animals well. Indeed, the current provisions for the annual single farm payment (SFP) to European farmers already include cross-compliance with statutory management requirements, including those on animal welfare</w:t>
      </w:r>
      <w:r w:rsidR="00223018">
        <w:rPr>
          <w:szCs w:val="20"/>
        </w:rPr>
        <w:t xml:space="preserve"> (</w:t>
      </w:r>
      <w:r w:rsidR="00A31BAB">
        <w:rPr>
          <w:szCs w:val="20"/>
        </w:rPr>
        <w:t xml:space="preserve">Regulation </w:t>
      </w:r>
      <w:r w:rsidR="000C39F1">
        <w:rPr>
          <w:szCs w:val="20"/>
        </w:rPr>
        <w:t xml:space="preserve">(EC) </w:t>
      </w:r>
      <w:r w:rsidR="00A31BAB">
        <w:rPr>
          <w:szCs w:val="20"/>
        </w:rPr>
        <w:t xml:space="preserve">No </w:t>
      </w:r>
      <w:r w:rsidR="000C39F1">
        <w:rPr>
          <w:szCs w:val="20"/>
        </w:rPr>
        <w:t>73/2009</w:t>
      </w:r>
      <w:r w:rsidR="00223018">
        <w:rPr>
          <w:szCs w:val="20"/>
        </w:rPr>
        <w:t>)</w:t>
      </w:r>
      <w:r>
        <w:rPr>
          <w:szCs w:val="20"/>
        </w:rPr>
        <w:t>, so why not extend these conditions to improved animal welfare standards?</w:t>
      </w:r>
      <w:r w:rsidR="00A31BAB">
        <w:rPr>
          <w:szCs w:val="20"/>
        </w:rPr>
        <w:t xml:space="preserve">  </w:t>
      </w:r>
    </w:p>
    <w:p w:rsidR="00827600" w:rsidRPr="00827600" w:rsidRDefault="00827600" w:rsidP="00827600">
      <w:pPr>
        <w:pStyle w:val="TOCHeading"/>
        <w:rPr>
          <w:i/>
        </w:rPr>
      </w:pPr>
      <w:r w:rsidRPr="00827600">
        <w:rPr>
          <w:i/>
        </w:rPr>
        <w:t>Pillar 1 extension to include animal welfare provisions?</w:t>
      </w:r>
    </w:p>
    <w:p w:rsidR="006D6CAF" w:rsidRDefault="00AA10AB" w:rsidP="006D6CAF">
      <w:pPr>
        <w:spacing w:after="200" w:line="220" w:lineRule="atLeast"/>
        <w:rPr>
          <w:szCs w:val="20"/>
        </w:rPr>
      </w:pPr>
      <w:r>
        <w:rPr>
          <w:szCs w:val="20"/>
        </w:rPr>
        <w:t>T</w:t>
      </w:r>
      <w:r w:rsidR="006D6CAF">
        <w:rPr>
          <w:szCs w:val="20"/>
        </w:rPr>
        <w:t xml:space="preserve">his ‘natural’ evolution of policy </w:t>
      </w:r>
      <w:r w:rsidR="00887066">
        <w:rPr>
          <w:szCs w:val="20"/>
        </w:rPr>
        <w:t>can</w:t>
      </w:r>
      <w:r w:rsidR="006D6CAF">
        <w:rPr>
          <w:szCs w:val="20"/>
        </w:rPr>
        <w:t xml:space="preserve"> be questioned, as a </w:t>
      </w:r>
      <w:proofErr w:type="spellStart"/>
      <w:r w:rsidR="006D6CAF">
        <w:rPr>
          <w:szCs w:val="20"/>
        </w:rPr>
        <w:t>dis</w:t>
      </w:r>
      <w:proofErr w:type="spellEnd"/>
      <w:r w:rsidR="006D6CAF">
        <w:rPr>
          <w:szCs w:val="20"/>
        </w:rPr>
        <w:t xml:space="preserve">-interested contribution to the political debate. There is a more fundamental question – on what basis should taxpayers be expected to pay for </w:t>
      </w:r>
      <w:proofErr w:type="gramStart"/>
      <w:r w:rsidR="006D6CAF">
        <w:rPr>
          <w:szCs w:val="20"/>
        </w:rPr>
        <w:t>something which</w:t>
      </w:r>
      <w:proofErr w:type="gramEnd"/>
      <w:r w:rsidR="006D6CAF">
        <w:rPr>
          <w:szCs w:val="20"/>
        </w:rPr>
        <w:t xml:space="preserve"> the same people, as consumers, are not prepared to pay? The existence of a substantial free-rider problem might provide a defensible justification, but it is at least questionable whether the free-rider problem is at all substantial in practice, as outlined above.</w:t>
      </w:r>
    </w:p>
    <w:p w:rsidR="006D6CAF" w:rsidRPr="00827600" w:rsidRDefault="006D6CAF" w:rsidP="00827600">
      <w:pPr>
        <w:spacing w:after="200" w:line="220" w:lineRule="atLeast"/>
      </w:pPr>
      <w:r>
        <w:rPr>
          <w:szCs w:val="20"/>
        </w:rPr>
        <w:t>In addition, there are several substantive reasons to question such a ‘natural’ extension of the CAP</w:t>
      </w:r>
      <w:r>
        <w:t xml:space="preserve"> to include specific animal welfare provisions within the definitions of ‘Good Agricultural and Environmental Conditions’ (under Pillar 1)</w:t>
      </w:r>
      <w:r w:rsidR="00827600">
        <w:t xml:space="preserve">, </w:t>
      </w:r>
      <w:r>
        <w:rPr>
          <w:color w:val="000000"/>
          <w:lang w:val="pl-PL" w:eastAsia="pl-PL"/>
        </w:rPr>
        <w:t>First, the policy option</w:t>
      </w:r>
      <w:r w:rsidRPr="00F91733">
        <w:rPr>
          <w:color w:val="000000"/>
          <w:lang w:val="pl-PL" w:eastAsia="pl-PL"/>
        </w:rPr>
        <w:t xml:space="preserve"> presupposes an accurate estimate of the additional costs associated with </w:t>
      </w:r>
      <w:r>
        <w:rPr>
          <w:color w:val="000000"/>
          <w:lang w:val="pl-PL" w:eastAsia="pl-PL"/>
        </w:rPr>
        <w:t>the proposed</w:t>
      </w:r>
      <w:r w:rsidRPr="00F91733">
        <w:rPr>
          <w:color w:val="000000"/>
          <w:lang w:val="pl-PL" w:eastAsia="pl-PL"/>
        </w:rPr>
        <w:t xml:space="preserve"> improvements so as to </w:t>
      </w:r>
      <w:r>
        <w:rPr>
          <w:color w:val="000000"/>
          <w:lang w:val="pl-PL" w:eastAsia="pl-PL"/>
        </w:rPr>
        <w:t xml:space="preserve">be reflected in </w:t>
      </w:r>
      <w:r w:rsidRPr="00F91733">
        <w:rPr>
          <w:color w:val="000000"/>
          <w:lang w:val="pl-PL" w:eastAsia="pl-PL"/>
        </w:rPr>
        <w:t>an addition to (or a separate segmentation of) the SFP - which would only apply to livestock farmers</w:t>
      </w:r>
      <w:r w:rsidR="00AA10AB">
        <w:rPr>
          <w:color w:val="000000"/>
          <w:lang w:val="pl-PL" w:eastAsia="pl-PL"/>
        </w:rPr>
        <w:t xml:space="preserve">. </w:t>
      </w:r>
      <w:r>
        <w:rPr>
          <w:color w:val="000000"/>
          <w:lang w:val="pl-PL" w:eastAsia="pl-PL"/>
        </w:rPr>
        <w:t xml:space="preserve">Such estimates, since they are necessarily hypothetical, are bound to be contentious and to generate continual (and costly) debate and re-negotiation. There are </w:t>
      </w:r>
      <w:r w:rsidR="001D4668">
        <w:rPr>
          <w:color w:val="000000"/>
          <w:lang w:val="pl-PL" w:eastAsia="pl-PL"/>
        </w:rPr>
        <w:t>few</w:t>
      </w:r>
      <w:r>
        <w:rPr>
          <w:color w:val="000000"/>
          <w:lang w:val="pl-PL" w:eastAsia="pl-PL"/>
        </w:rPr>
        <w:t xml:space="preserve"> ‘facts’ to appeal to, only necessarily conditional projections.</w:t>
      </w:r>
    </w:p>
    <w:p w:rsidR="006D6CAF" w:rsidRPr="00F91733" w:rsidRDefault="006D6CAF" w:rsidP="006D6CAF">
      <w:pPr>
        <w:spacing w:after="200"/>
        <w:rPr>
          <w:color w:val="000000"/>
          <w:lang w:val="pl-PL" w:eastAsia="pl-PL"/>
        </w:rPr>
      </w:pPr>
      <w:r>
        <w:rPr>
          <w:color w:val="000000"/>
          <w:lang w:val="pl-PL" w:eastAsia="pl-PL"/>
        </w:rPr>
        <w:t>Second,</w:t>
      </w:r>
      <w:r w:rsidRPr="00F91733">
        <w:rPr>
          <w:color w:val="000000"/>
          <w:lang w:val="pl-PL" w:eastAsia="pl-PL"/>
        </w:rPr>
        <w:t xml:space="preserve"> </w:t>
      </w:r>
      <w:r w:rsidR="001D4668">
        <w:rPr>
          <w:color w:val="000000"/>
          <w:lang w:val="pl-PL" w:eastAsia="pl-PL"/>
        </w:rPr>
        <w:t xml:space="preserve">the benefits of such payments in terms of improved animal welfare are not as obvious as they may appear at first sight. The critical analytic problem is to determine the ‘counter-factual’ – what would farmers and the supply chain have done without the new standards and payments? Again, this question is impossible to answer without contention. Whether or not such a policy actually delivers improved animal welfare of at least equivalent value to the costs of implementation, monitoring and verfication is always impossible to determine unambiguously. </w:t>
      </w:r>
      <w:r w:rsidR="00827600">
        <w:rPr>
          <w:color w:val="000000"/>
          <w:lang w:val="pl-PL" w:eastAsia="pl-PL"/>
        </w:rPr>
        <w:t>The Pillar 1 option</w:t>
      </w:r>
      <w:r w:rsidR="00827600" w:rsidRPr="00F91733">
        <w:rPr>
          <w:color w:val="000000"/>
          <w:lang w:val="pl-PL" w:eastAsia="pl-PL"/>
        </w:rPr>
        <w:t xml:space="preserve"> presumes an expensive and potentially contentious monitoring and policing system which is not presently in place and needs to be paid for by member states in times of fiscal stringency</w:t>
      </w:r>
      <w:r w:rsidR="00827600">
        <w:rPr>
          <w:color w:val="000000"/>
          <w:lang w:val="pl-PL" w:eastAsia="pl-PL"/>
        </w:rPr>
        <w:t>.</w:t>
      </w:r>
      <w:r w:rsidR="00827600" w:rsidRPr="00F91733">
        <w:rPr>
          <w:color w:val="000000"/>
          <w:lang w:val="pl-PL" w:eastAsia="pl-PL"/>
        </w:rPr>
        <w:t xml:space="preserve"> </w:t>
      </w:r>
      <w:r w:rsidR="00827600">
        <w:rPr>
          <w:color w:val="000000"/>
          <w:lang w:val="pl-PL" w:eastAsia="pl-PL"/>
        </w:rPr>
        <w:t>Under these conditions,</w:t>
      </w:r>
      <w:r w:rsidR="00827600" w:rsidRPr="00F91733">
        <w:rPr>
          <w:color w:val="000000"/>
          <w:lang w:val="pl-PL" w:eastAsia="pl-PL"/>
        </w:rPr>
        <w:t xml:space="preserve"> enfor</w:t>
      </w:r>
      <w:r w:rsidR="00827600">
        <w:rPr>
          <w:color w:val="000000"/>
          <w:lang w:val="pl-PL" w:eastAsia="pl-PL"/>
        </w:rPr>
        <w:t>c</w:t>
      </w:r>
      <w:r w:rsidR="00827600" w:rsidRPr="00F91733">
        <w:rPr>
          <w:color w:val="000000"/>
          <w:lang w:val="pl-PL" w:eastAsia="pl-PL"/>
        </w:rPr>
        <w:t>ement would be likely</w:t>
      </w:r>
      <w:r w:rsidR="00827600">
        <w:rPr>
          <w:color w:val="000000"/>
          <w:lang w:val="pl-PL" w:eastAsia="pl-PL"/>
        </w:rPr>
        <w:t xml:space="preserve"> to be</w:t>
      </w:r>
      <w:r w:rsidR="00827600" w:rsidRPr="00F91733">
        <w:rPr>
          <w:color w:val="000000"/>
          <w:lang w:val="pl-PL" w:eastAsia="pl-PL"/>
        </w:rPr>
        <w:t xml:space="preserve"> patchy and inconsistent between member states</w:t>
      </w:r>
      <w:r w:rsidR="00827600">
        <w:rPr>
          <w:color w:val="000000"/>
          <w:lang w:val="pl-PL" w:eastAsia="pl-PL"/>
        </w:rPr>
        <w:t xml:space="preserve">, raising continual disputes and costly debates and re-negotiations within the European polity. </w:t>
      </w:r>
      <w:r w:rsidR="001D4668">
        <w:rPr>
          <w:color w:val="000000"/>
          <w:lang w:val="pl-PL" w:eastAsia="pl-PL"/>
        </w:rPr>
        <w:t>There is a real danger that such policies may simply</w:t>
      </w:r>
      <w:r>
        <w:rPr>
          <w:color w:val="000000"/>
          <w:lang w:val="pl-PL" w:eastAsia="pl-PL"/>
        </w:rPr>
        <w:t xml:space="preserve"> ‘crowd out’ private initiatives and adaptations and substantially reduce the incentives and rewards for continued private and voluntary adjustments and improvements.</w:t>
      </w:r>
      <w:r w:rsidR="00827600">
        <w:rPr>
          <w:color w:val="000000"/>
          <w:lang w:val="pl-PL" w:eastAsia="pl-PL"/>
        </w:rPr>
        <w:t xml:space="preserve"> In this case, the additional effort under the CAP will be wasted.</w:t>
      </w:r>
    </w:p>
    <w:p w:rsidR="006D6CAF" w:rsidRDefault="006D6CAF" w:rsidP="006D6CAF">
      <w:pPr>
        <w:spacing w:after="200"/>
        <w:rPr>
          <w:color w:val="000000"/>
          <w:lang w:val="pl-PL" w:eastAsia="pl-PL"/>
        </w:rPr>
      </w:pPr>
      <w:r>
        <w:rPr>
          <w:color w:val="000000"/>
          <w:lang w:val="pl-PL" w:eastAsia="pl-PL"/>
        </w:rPr>
        <w:t>Third, such a policy (under Pillar 1)</w:t>
      </w:r>
      <w:r w:rsidRPr="00F91733">
        <w:rPr>
          <w:color w:val="000000"/>
          <w:lang w:val="pl-PL" w:eastAsia="pl-PL"/>
        </w:rPr>
        <w:t xml:space="preserve"> would effectively 're-couple' the</w:t>
      </w:r>
      <w:r>
        <w:rPr>
          <w:color w:val="000000"/>
          <w:lang w:val="pl-PL" w:eastAsia="pl-PL"/>
        </w:rPr>
        <w:t xml:space="preserve"> SFP</w:t>
      </w:r>
      <w:r w:rsidRPr="00F91733">
        <w:rPr>
          <w:color w:val="000000"/>
          <w:lang w:val="pl-PL" w:eastAsia="pl-PL"/>
        </w:rPr>
        <w:t xml:space="preserve"> payments to production, and make them</w:t>
      </w:r>
      <w:r>
        <w:rPr>
          <w:color w:val="000000"/>
          <w:lang w:val="pl-PL" w:eastAsia="pl-PL"/>
        </w:rPr>
        <w:t xml:space="preserve"> potentially</w:t>
      </w:r>
      <w:r w:rsidRPr="00F91733">
        <w:rPr>
          <w:color w:val="000000"/>
          <w:lang w:val="pl-PL" w:eastAsia="pl-PL"/>
        </w:rPr>
        <w:t xml:space="preserve"> actionable as production subsidies under the W</w:t>
      </w:r>
      <w:r>
        <w:rPr>
          <w:color w:val="000000"/>
          <w:lang w:val="pl-PL" w:eastAsia="pl-PL"/>
        </w:rPr>
        <w:t>TO, rather than preserving/enha</w:t>
      </w:r>
      <w:r w:rsidRPr="00F91733">
        <w:rPr>
          <w:color w:val="000000"/>
          <w:lang w:val="pl-PL" w:eastAsia="pl-PL"/>
        </w:rPr>
        <w:t xml:space="preserve">ncing their </w:t>
      </w:r>
      <w:r>
        <w:rPr>
          <w:color w:val="000000"/>
          <w:lang w:val="pl-PL" w:eastAsia="pl-PL"/>
        </w:rPr>
        <w:t xml:space="preserve">non-actionable </w:t>
      </w:r>
      <w:r w:rsidRPr="00F91733">
        <w:rPr>
          <w:color w:val="000000"/>
          <w:lang w:val="pl-PL" w:eastAsia="pl-PL"/>
        </w:rPr>
        <w:t>'green box' status</w:t>
      </w:r>
      <w:r>
        <w:rPr>
          <w:color w:val="000000"/>
          <w:lang w:val="pl-PL" w:eastAsia="pl-PL"/>
        </w:rPr>
        <w:t xml:space="preserve"> (see D4.3). Otherwise,</w:t>
      </w:r>
      <w:r w:rsidRPr="00F91733">
        <w:rPr>
          <w:color w:val="000000"/>
          <w:lang w:val="pl-PL" w:eastAsia="pl-PL"/>
        </w:rPr>
        <w:t xml:space="preserve"> the definition of</w:t>
      </w:r>
      <w:r>
        <w:rPr>
          <w:color w:val="000000"/>
          <w:lang w:val="pl-PL" w:eastAsia="pl-PL"/>
        </w:rPr>
        <w:t xml:space="preserve"> the</w:t>
      </w:r>
      <w:r w:rsidRPr="00F91733">
        <w:rPr>
          <w:color w:val="000000"/>
          <w:lang w:val="pl-PL" w:eastAsia="pl-PL"/>
        </w:rPr>
        <w:t xml:space="preserve"> 'green</w:t>
      </w:r>
      <w:r>
        <w:rPr>
          <w:color w:val="000000"/>
          <w:lang w:val="pl-PL" w:eastAsia="pl-PL"/>
        </w:rPr>
        <w:t xml:space="preserve"> box</w:t>
      </w:r>
      <w:r w:rsidRPr="00F91733">
        <w:rPr>
          <w:color w:val="000000"/>
          <w:lang w:val="pl-PL" w:eastAsia="pl-PL"/>
        </w:rPr>
        <w:t>' would need to be extended to</w:t>
      </w:r>
      <w:r>
        <w:rPr>
          <w:color w:val="000000"/>
          <w:lang w:val="pl-PL" w:eastAsia="pl-PL"/>
        </w:rPr>
        <w:t xml:space="preserve"> in</w:t>
      </w:r>
      <w:r w:rsidR="00827600">
        <w:rPr>
          <w:color w:val="000000"/>
          <w:lang w:val="pl-PL" w:eastAsia="pl-PL"/>
        </w:rPr>
        <w:t>clude animal welfare provisions. Desirable though this may be (and it</w:t>
      </w:r>
      <w:r w:rsidR="00AA10AB">
        <w:rPr>
          <w:color w:val="000000"/>
          <w:lang w:val="pl-PL" w:eastAsia="pl-PL"/>
        </w:rPr>
        <w:t xml:space="preserve"> is already beginning to happen)</w:t>
      </w:r>
      <w:r>
        <w:rPr>
          <w:color w:val="000000"/>
          <w:lang w:val="pl-PL" w:eastAsia="pl-PL"/>
        </w:rPr>
        <w:t xml:space="preserve"> </w:t>
      </w:r>
      <w:r w:rsidR="00827600">
        <w:rPr>
          <w:color w:val="000000"/>
          <w:lang w:val="pl-PL" w:eastAsia="pl-PL"/>
        </w:rPr>
        <w:t>such extension</w:t>
      </w:r>
      <w:r>
        <w:rPr>
          <w:color w:val="000000"/>
          <w:lang w:val="pl-PL" w:eastAsia="pl-PL"/>
        </w:rPr>
        <w:t xml:space="preserve"> necessarily prolong</w:t>
      </w:r>
      <w:r w:rsidR="00827600">
        <w:rPr>
          <w:color w:val="000000"/>
          <w:lang w:val="pl-PL" w:eastAsia="pl-PL"/>
        </w:rPr>
        <w:t>s</w:t>
      </w:r>
      <w:r>
        <w:rPr>
          <w:color w:val="000000"/>
          <w:lang w:val="pl-PL" w:eastAsia="pl-PL"/>
        </w:rPr>
        <w:t xml:space="preserve"> international negotiations and delay</w:t>
      </w:r>
      <w:r w:rsidR="00827600">
        <w:rPr>
          <w:color w:val="000000"/>
          <w:lang w:val="pl-PL" w:eastAsia="pl-PL"/>
        </w:rPr>
        <w:t>s</w:t>
      </w:r>
      <w:r>
        <w:rPr>
          <w:color w:val="000000"/>
          <w:lang w:val="pl-PL" w:eastAsia="pl-PL"/>
        </w:rPr>
        <w:t xml:space="preserve"> the introduction of the new standards.</w:t>
      </w:r>
      <w:r w:rsidRPr="00F91733">
        <w:rPr>
          <w:color w:val="000000"/>
          <w:lang w:val="pl-PL" w:eastAsia="pl-PL"/>
        </w:rPr>
        <w:t xml:space="preserve">  </w:t>
      </w:r>
      <w:r>
        <w:rPr>
          <w:color w:val="000000"/>
          <w:lang w:val="pl-PL" w:eastAsia="pl-PL"/>
        </w:rPr>
        <w:t xml:space="preserve">In addition, </w:t>
      </w:r>
      <w:r w:rsidRPr="00F91733">
        <w:rPr>
          <w:color w:val="000000"/>
          <w:lang w:val="pl-PL" w:eastAsia="pl-PL"/>
        </w:rPr>
        <w:t>the most intensive production</w:t>
      </w:r>
      <w:r>
        <w:rPr>
          <w:color w:val="000000"/>
          <w:lang w:val="pl-PL" w:eastAsia="pl-PL"/>
        </w:rPr>
        <w:t xml:space="preserve"> sectors</w:t>
      </w:r>
      <w:r w:rsidRPr="00F91733">
        <w:rPr>
          <w:color w:val="000000"/>
          <w:lang w:val="pl-PL" w:eastAsia="pl-PL"/>
        </w:rPr>
        <w:t xml:space="preserve"> (pigs and poultry) are often kept in specialist farms </w:t>
      </w:r>
      <w:r>
        <w:rPr>
          <w:color w:val="000000"/>
          <w:lang w:val="pl-PL" w:eastAsia="pl-PL"/>
        </w:rPr>
        <w:t>who have</w:t>
      </w:r>
      <w:r w:rsidRPr="00F91733">
        <w:rPr>
          <w:color w:val="000000"/>
          <w:lang w:val="pl-PL" w:eastAsia="pl-PL"/>
        </w:rPr>
        <w:t xml:space="preserve"> very limited entitlement to</w:t>
      </w:r>
      <w:r>
        <w:rPr>
          <w:color w:val="000000"/>
          <w:lang w:val="pl-PL" w:eastAsia="pl-PL"/>
        </w:rPr>
        <w:t xml:space="preserve"> current</w:t>
      </w:r>
      <w:r w:rsidRPr="00F91733">
        <w:rPr>
          <w:color w:val="000000"/>
          <w:lang w:val="pl-PL" w:eastAsia="pl-PL"/>
        </w:rPr>
        <w:t xml:space="preserve"> </w:t>
      </w:r>
      <w:r>
        <w:rPr>
          <w:color w:val="000000"/>
          <w:lang w:val="pl-PL" w:eastAsia="pl-PL"/>
        </w:rPr>
        <w:t>single farm payments under Pillar 1, which makes this policy option largely irrelevant to perhaps the most intensive systems of production.</w:t>
      </w:r>
    </w:p>
    <w:p w:rsidR="006D6CAF" w:rsidRDefault="006D6CAF" w:rsidP="006D6CAF">
      <w:pPr>
        <w:spacing w:after="200"/>
        <w:rPr>
          <w:color w:val="000000"/>
          <w:lang w:val="pl-PL" w:eastAsia="pl-PL"/>
        </w:rPr>
      </w:pPr>
      <w:r>
        <w:rPr>
          <w:color w:val="000000"/>
          <w:lang w:val="pl-PL" w:eastAsia="pl-PL"/>
        </w:rPr>
        <w:t>Finally,</w:t>
      </w:r>
      <w:r w:rsidRPr="00F91733">
        <w:rPr>
          <w:color w:val="000000"/>
          <w:lang w:val="pl-PL" w:eastAsia="pl-PL"/>
        </w:rPr>
        <w:t xml:space="preserve"> the logic of the free-rider problem - the justification for public subsidy (since AW itself is not a public good, only the regulation of it is) - does not</w:t>
      </w:r>
      <w:r w:rsidR="00C02117">
        <w:rPr>
          <w:color w:val="000000"/>
          <w:lang w:val="pl-PL" w:eastAsia="pl-PL"/>
        </w:rPr>
        <w:t xml:space="preserve"> necessarily</w:t>
      </w:r>
      <w:r w:rsidRPr="00F91733">
        <w:rPr>
          <w:color w:val="000000"/>
          <w:lang w:val="pl-PL" w:eastAsia="pl-PL"/>
        </w:rPr>
        <w:t xml:space="preserve"> suggest that production subsidies</w:t>
      </w:r>
      <w:r>
        <w:rPr>
          <w:color w:val="000000"/>
          <w:lang w:val="pl-PL" w:eastAsia="pl-PL"/>
        </w:rPr>
        <w:t xml:space="preserve"> are required. In logic, if the free-rider problem is really substantive, the appropriate remedy is to ‘top-load’ predominantly self-interested consumer spending on animal friendly products with a public contribution which makes good the free-rider shortfall. Consumer or </w:t>
      </w:r>
      <w:r w:rsidRPr="00F91733">
        <w:rPr>
          <w:color w:val="000000"/>
          <w:lang w:val="pl-PL" w:eastAsia="pl-PL"/>
        </w:rPr>
        <w:t xml:space="preserve">consumption subsidies should </w:t>
      </w:r>
      <w:r>
        <w:rPr>
          <w:color w:val="000000"/>
          <w:lang w:val="pl-PL" w:eastAsia="pl-PL"/>
        </w:rPr>
        <w:t>be the solution to this problem, rather than subsidising production. A further argument in support of consumer, rather than producer subsidy, is that the former would not be actionable under the current provisions of the WTO, since such a subsidy would necessarily apply to products whatever their origin.</w:t>
      </w:r>
      <w:r w:rsidRPr="00F91733">
        <w:rPr>
          <w:color w:val="000000"/>
          <w:lang w:val="pl-PL" w:eastAsia="pl-PL"/>
        </w:rPr>
        <w:t xml:space="preserve"> </w:t>
      </w:r>
    </w:p>
    <w:p w:rsidR="006D6CAF" w:rsidRDefault="006D6CAF" w:rsidP="006D6CAF">
      <w:pPr>
        <w:spacing w:after="200"/>
        <w:rPr>
          <w:color w:val="000000"/>
          <w:lang w:val="pl-PL" w:eastAsia="pl-PL"/>
        </w:rPr>
      </w:pPr>
      <w:r>
        <w:rPr>
          <w:color w:val="000000"/>
          <w:lang w:val="pl-PL" w:eastAsia="pl-PL"/>
        </w:rPr>
        <w:t>Although simple economic analysis suggests that the application of subsidies (either to consumers or to producers) does not affect the incidence (who actually benefits</w:t>
      </w:r>
      <w:r w:rsidR="00C02117">
        <w:rPr>
          <w:color w:val="000000"/>
          <w:lang w:val="pl-PL" w:eastAsia="pl-PL"/>
        </w:rPr>
        <w:t xml:space="preserve"> and who pays</w:t>
      </w:r>
      <w:r>
        <w:rPr>
          <w:color w:val="000000"/>
          <w:lang w:val="pl-PL" w:eastAsia="pl-PL"/>
        </w:rPr>
        <w:t xml:space="preserve">), in practice the incentives provided by subsidies are very likely to differ as the effects are transmitted through the chain. If consumer spending on animal freindly products is subject to a </w:t>
      </w:r>
      <w:r w:rsidRPr="00AF471E">
        <w:rPr>
          <w:i/>
          <w:color w:val="000000"/>
          <w:lang w:val="pl-PL" w:eastAsia="pl-PL"/>
        </w:rPr>
        <w:t>pro-rata</w:t>
      </w:r>
      <w:r>
        <w:rPr>
          <w:color w:val="000000"/>
          <w:lang w:val="pl-PL" w:eastAsia="pl-PL"/>
        </w:rPr>
        <w:t xml:space="preserve"> subsidy, based on reliable estimates of the free-rider deficit (which can only be made at the retail level, if at all), then the incentives are for the retailers to seek out and encourage the necessary supplies, in competition with each other. Such a subsidy would be self-policing. Only </w:t>
      </w:r>
      <w:r w:rsidR="00C02117">
        <w:rPr>
          <w:color w:val="000000"/>
          <w:lang w:val="pl-PL" w:eastAsia="pl-PL"/>
        </w:rPr>
        <w:t xml:space="preserve">if </w:t>
      </w:r>
      <w:r>
        <w:rPr>
          <w:color w:val="000000"/>
          <w:lang w:val="pl-PL" w:eastAsia="pl-PL"/>
        </w:rPr>
        <w:t xml:space="preserve">there is actually a free-rider problem (the free-rider deficit, covered by the subsidy is actually greater than the market deficit – the premium necesary to cover the additional costs of the improved welfare) will the subsidy actually result in a greater consumption of the welfare freindly products and an improved level of welfare of the animals. If there is no substantive free-rider problem, then the existence of the subsidy will not generate any additional spending, and there will be no subsidy expenditure.  Producer fears that the subsidy might simply be retained by powerful retailers </w:t>
      </w:r>
      <w:r w:rsidR="00C02117">
        <w:rPr>
          <w:color w:val="000000"/>
          <w:lang w:val="pl-PL" w:eastAsia="pl-PL"/>
        </w:rPr>
        <w:t>can be countered by the fact that</w:t>
      </w:r>
      <w:r>
        <w:rPr>
          <w:color w:val="000000"/>
          <w:lang w:val="pl-PL" w:eastAsia="pl-PL"/>
        </w:rPr>
        <w:t xml:space="preserve"> retailers would be unable to claim the subsidy unless they continued to sell the products, and would therefore be obliged to ensure their supply chains continued to supply</w:t>
      </w:r>
      <w:r w:rsidR="00C02117">
        <w:rPr>
          <w:color w:val="000000"/>
          <w:lang w:val="pl-PL" w:eastAsia="pl-PL"/>
        </w:rPr>
        <w:t xml:space="preserve"> them.</w:t>
      </w:r>
      <w:r>
        <w:rPr>
          <w:color w:val="000000"/>
          <w:lang w:val="pl-PL" w:eastAsia="pl-PL"/>
        </w:rPr>
        <w:t xml:space="preserve"> </w:t>
      </w:r>
      <w:r w:rsidR="00C02117">
        <w:rPr>
          <w:color w:val="000000"/>
          <w:lang w:val="pl-PL" w:eastAsia="pl-PL"/>
        </w:rPr>
        <w:t>The supplies will only be forthcomi</w:t>
      </w:r>
      <w:r w:rsidR="00911459">
        <w:rPr>
          <w:color w:val="000000"/>
          <w:lang w:val="pl-PL" w:eastAsia="pl-PL"/>
        </w:rPr>
        <w:t>n</w:t>
      </w:r>
      <w:r w:rsidR="00C02117">
        <w:rPr>
          <w:color w:val="000000"/>
          <w:lang w:val="pl-PL" w:eastAsia="pl-PL"/>
        </w:rPr>
        <w:t xml:space="preserve">g if producers (and chain actors) in general are </w:t>
      </w:r>
      <w:r>
        <w:rPr>
          <w:color w:val="000000"/>
          <w:lang w:val="pl-PL" w:eastAsia="pl-PL"/>
        </w:rPr>
        <w:t>sufficiently recompensed</w:t>
      </w:r>
      <w:r w:rsidR="00C02117">
        <w:rPr>
          <w:color w:val="000000"/>
          <w:lang w:val="pl-PL" w:eastAsia="pl-PL"/>
        </w:rPr>
        <w:t xml:space="preserve"> for their production and animal care activities</w:t>
      </w:r>
      <w:r>
        <w:rPr>
          <w:color w:val="000000"/>
          <w:lang w:val="pl-PL" w:eastAsia="pl-PL"/>
        </w:rPr>
        <w:t>.</w:t>
      </w:r>
      <w:r w:rsidR="00C02117">
        <w:rPr>
          <w:rStyle w:val="FootnoteReference"/>
          <w:color w:val="000000"/>
          <w:lang w:val="pl-PL" w:eastAsia="pl-PL"/>
        </w:rPr>
        <w:footnoteReference w:id="12"/>
      </w:r>
    </w:p>
    <w:p w:rsidR="006D6CAF" w:rsidRDefault="006D6CAF" w:rsidP="006D6CAF">
      <w:pPr>
        <w:spacing w:after="200"/>
        <w:rPr>
          <w:color w:val="000000"/>
          <w:lang w:val="pl-PL" w:eastAsia="pl-PL"/>
        </w:rPr>
      </w:pPr>
      <w:r>
        <w:rPr>
          <w:color w:val="000000"/>
          <w:lang w:val="pl-PL" w:eastAsia="pl-PL"/>
        </w:rPr>
        <w:t>In addition, the implementation of the subsidy would be substantially easier than a production subsidy. A consumption susbsidy can be applied to any private or voluntary brand or label or product outlet which adheres to verifiable welfare standards. The level of the standard (over and above the statutory minima) which would be eligible would be determined by the authorities, and third party verification of the standards would be a necessary condition for receipt of the subsidy. The subsidy would thus be entirely compatable with existing and new private and independent standards and would not require any separate bureaucracy. Indeed, it would encourage third-party verification and transparency of private standards.</w:t>
      </w:r>
    </w:p>
    <w:p w:rsidR="006D6CAF" w:rsidRDefault="006D6CAF" w:rsidP="006D6CAF">
      <w:pPr>
        <w:spacing w:after="200"/>
        <w:rPr>
          <w:color w:val="000000"/>
          <w:lang w:val="pl-PL" w:eastAsia="pl-PL"/>
        </w:rPr>
      </w:pPr>
      <w:r>
        <w:rPr>
          <w:color w:val="000000"/>
          <w:lang w:val="pl-PL" w:eastAsia="pl-PL"/>
        </w:rPr>
        <w:t xml:space="preserve">Nevertheless, there remains the substantial problem with such a subsidy – that it will simply replace or crowd-out what consumers would have spent anyway, as their involvement with animal welfare continues to improve. Hence, it </w:t>
      </w:r>
      <w:r w:rsidR="00C02117">
        <w:rPr>
          <w:color w:val="000000"/>
          <w:lang w:val="pl-PL" w:eastAsia="pl-PL"/>
        </w:rPr>
        <w:t>might</w:t>
      </w:r>
      <w:r>
        <w:rPr>
          <w:color w:val="000000"/>
          <w:lang w:val="pl-PL" w:eastAsia="pl-PL"/>
        </w:rPr>
        <w:t xml:space="preserve"> be considered only as a finite and explicitly time-limited promotion, rather than a permanent feature of future policy.</w:t>
      </w:r>
    </w:p>
    <w:p w:rsidR="006D6CAF" w:rsidRDefault="006D6CAF" w:rsidP="006D6CAF">
      <w:pPr>
        <w:spacing w:after="200"/>
        <w:rPr>
          <w:color w:val="000000"/>
          <w:lang w:val="pl-PL" w:eastAsia="pl-PL"/>
        </w:rPr>
      </w:pPr>
      <w:r>
        <w:rPr>
          <w:color w:val="000000"/>
          <w:lang w:val="pl-PL" w:eastAsia="pl-PL"/>
        </w:rPr>
        <w:t>On the other hand, subsidising production requires the separate registration of each producer and verification that they are eligible by the subsidising authority, and would not serve to encourage the further development of existing market-based welfare friendly products</w:t>
      </w:r>
      <w:r w:rsidR="00C02117">
        <w:rPr>
          <w:color w:val="000000"/>
          <w:lang w:val="pl-PL" w:eastAsia="pl-PL"/>
        </w:rPr>
        <w:t>, or necessarily encourage the development of the necessary chain capacity to deliver and market these subsidised products.</w:t>
      </w:r>
      <w:r>
        <w:rPr>
          <w:color w:val="000000"/>
          <w:lang w:val="pl-PL" w:eastAsia="pl-PL"/>
        </w:rPr>
        <w:t xml:space="preserve"> Furthermore,</w:t>
      </w:r>
      <w:r w:rsidRPr="00F91733">
        <w:rPr>
          <w:color w:val="000000"/>
          <w:lang w:val="pl-PL" w:eastAsia="pl-PL"/>
        </w:rPr>
        <w:t xml:space="preserve"> </w:t>
      </w:r>
      <w:r w:rsidR="00523FA9">
        <w:rPr>
          <w:color w:val="000000"/>
          <w:lang w:val="pl-PL" w:eastAsia="pl-PL"/>
        </w:rPr>
        <w:t>provision of production assistance necesarily damages the interests of existing welfare freindly producers, since (if effective) this assistance must incease the supplies of welfare freindly products, and hence reduce their market price. Such an over-supply condition has reportedly already affected the free-range egg producers (at least in the UK), where investment assistance to producer to help adjustment to the forthcoming (2012) ban on battery cages for layng hens has resulted in a significant increase in free-range and barn eggs, underming the existing market, at least in the short run.</w:t>
      </w:r>
      <w:r w:rsidR="007469FF">
        <w:rPr>
          <w:color w:val="000000"/>
          <w:lang w:val="pl-PL" w:eastAsia="pl-PL"/>
        </w:rPr>
        <w:t xml:space="preserve"> It can hardly be judged equitable that existing welfare freindly producers are harmed by efforts to persuade less welfare freindly producers to adjust their practices.</w:t>
      </w:r>
    </w:p>
    <w:p w:rsidR="00827600" w:rsidRPr="00827600" w:rsidRDefault="00827600" w:rsidP="00827600">
      <w:pPr>
        <w:pStyle w:val="TOCHeading"/>
        <w:rPr>
          <w:i/>
        </w:rPr>
      </w:pPr>
      <w:r>
        <w:rPr>
          <w:i/>
        </w:rPr>
        <w:t>Pillar 2 incentives to improve animal welfare?</w:t>
      </w:r>
    </w:p>
    <w:p w:rsidR="00036577" w:rsidRDefault="00827600" w:rsidP="00077A32">
      <w:pPr>
        <w:pStyle w:val="CommentText"/>
        <w:spacing w:line="240" w:lineRule="auto"/>
        <w:jc w:val="both"/>
        <w:rPr>
          <w:rFonts w:ascii="Arial" w:hAnsi="Arial"/>
          <w:sz w:val="22"/>
        </w:rPr>
      </w:pPr>
      <w:r w:rsidRPr="00AA10AB">
        <w:rPr>
          <w:rFonts w:ascii="Arial" w:hAnsi="Arial"/>
          <w:sz w:val="22"/>
        </w:rPr>
        <w:t xml:space="preserve">An obvious alternative to including animal welfare in </w:t>
      </w:r>
      <w:proofErr w:type="spellStart"/>
      <w:r w:rsidRPr="00AA10AB">
        <w:rPr>
          <w:rFonts w:ascii="Arial" w:hAnsi="Arial"/>
          <w:sz w:val="22"/>
        </w:rPr>
        <w:t>CAP’s</w:t>
      </w:r>
      <w:proofErr w:type="spellEnd"/>
      <w:r w:rsidRPr="00AA10AB">
        <w:rPr>
          <w:rFonts w:ascii="Arial" w:hAnsi="Arial"/>
          <w:sz w:val="22"/>
        </w:rPr>
        <w:t xml:space="preserve"> Pillar 1 is to develop animal welfare standards to be encouraged through Pillar 2, along similar lines to those already used for environmental measures. </w:t>
      </w:r>
      <w:r w:rsidR="00AA10AB" w:rsidRPr="00AA10AB">
        <w:rPr>
          <w:rFonts w:ascii="Arial" w:hAnsi="Arial"/>
          <w:sz w:val="22"/>
        </w:rPr>
        <w:t>Indeed, Council Regulation (EC) No 1698/2005 on support for</w:t>
      </w:r>
      <w:r w:rsidR="00AA10AB">
        <w:rPr>
          <w:rFonts w:ascii="Arial" w:hAnsi="Arial"/>
          <w:sz w:val="22"/>
        </w:rPr>
        <w:t xml:space="preserve"> rural development by the EAFRD</w:t>
      </w:r>
      <w:r w:rsidR="00AA10AB" w:rsidRPr="00AA10AB">
        <w:rPr>
          <w:rFonts w:ascii="Arial" w:hAnsi="Arial"/>
          <w:sz w:val="22"/>
        </w:rPr>
        <w:t xml:space="preserve"> already stipulates animal welfare payments for </w:t>
      </w:r>
      <w:proofErr w:type="gramStart"/>
      <w:r w:rsidR="00AA10AB" w:rsidRPr="00AA10AB">
        <w:rPr>
          <w:rFonts w:ascii="Arial" w:hAnsi="Arial"/>
          <w:sz w:val="22"/>
        </w:rPr>
        <w:t>farmers  who</w:t>
      </w:r>
      <w:proofErr w:type="gramEnd"/>
      <w:r w:rsidR="00AA10AB" w:rsidRPr="00AA10AB">
        <w:rPr>
          <w:rFonts w:ascii="Arial" w:hAnsi="Arial"/>
          <w:sz w:val="22"/>
        </w:rPr>
        <w:t xml:space="preserve"> go beyond the relevant mandatory payments ( Art 36) ). This is more clearly explain</w:t>
      </w:r>
      <w:r w:rsidR="00AA10AB">
        <w:rPr>
          <w:rFonts w:ascii="Arial" w:hAnsi="Arial"/>
          <w:sz w:val="22"/>
        </w:rPr>
        <w:t>ed under Axis 2</w:t>
      </w:r>
      <w:r w:rsidR="00D44C3E">
        <w:rPr>
          <w:rFonts w:ascii="Arial" w:hAnsi="Arial"/>
          <w:sz w:val="22"/>
        </w:rPr>
        <w:t xml:space="preserve">: ‘Improving </w:t>
      </w:r>
      <w:r w:rsidR="00AA10AB" w:rsidRPr="00AA10AB">
        <w:rPr>
          <w:rFonts w:ascii="Arial" w:hAnsi="Arial"/>
          <w:sz w:val="22"/>
        </w:rPr>
        <w:t xml:space="preserve">the </w:t>
      </w:r>
      <w:r w:rsidR="00AA10AB">
        <w:rPr>
          <w:rFonts w:ascii="Arial" w:hAnsi="Arial"/>
          <w:sz w:val="22"/>
        </w:rPr>
        <w:t>environment and the countryside</w:t>
      </w:r>
      <w:r w:rsidR="00AA10AB" w:rsidRPr="00AA10AB">
        <w:rPr>
          <w:rFonts w:ascii="Arial" w:hAnsi="Arial"/>
          <w:sz w:val="22"/>
        </w:rPr>
        <w:t>‘</w:t>
      </w:r>
      <w:r w:rsidR="00AA10AB">
        <w:rPr>
          <w:rFonts w:ascii="Arial" w:hAnsi="Arial"/>
          <w:sz w:val="22"/>
        </w:rPr>
        <w:t xml:space="preserve">, </w:t>
      </w:r>
      <w:proofErr w:type="gramStart"/>
      <w:r w:rsidR="00AA10AB" w:rsidRPr="00AA10AB">
        <w:rPr>
          <w:rFonts w:ascii="Arial" w:hAnsi="Arial"/>
          <w:sz w:val="22"/>
        </w:rPr>
        <w:t>Measures  targeting</w:t>
      </w:r>
      <w:proofErr w:type="gramEnd"/>
      <w:r w:rsidR="00AA10AB" w:rsidRPr="00AA10AB">
        <w:rPr>
          <w:rFonts w:ascii="Arial" w:hAnsi="Arial"/>
          <w:sz w:val="22"/>
        </w:rPr>
        <w:t xml:space="preserve"> the sustainable use of ag</w:t>
      </w:r>
      <w:r w:rsidR="00AA10AB">
        <w:rPr>
          <w:rFonts w:ascii="Arial" w:hAnsi="Arial"/>
          <w:sz w:val="22"/>
        </w:rPr>
        <w:t xml:space="preserve">riculture land  (Art 36.a IV.) </w:t>
      </w:r>
      <w:r w:rsidR="00AA10AB" w:rsidRPr="00AA10AB">
        <w:rPr>
          <w:rFonts w:ascii="Arial" w:hAnsi="Arial"/>
          <w:sz w:val="22"/>
        </w:rPr>
        <w:t>and Article 40.  The</w:t>
      </w:r>
      <w:r w:rsidR="00AA10AB">
        <w:rPr>
          <w:rFonts w:ascii="Arial" w:hAnsi="Arial"/>
          <w:sz w:val="22"/>
        </w:rPr>
        <w:t xml:space="preserve"> payments are granted annually </w:t>
      </w:r>
      <w:r w:rsidR="00AA10AB" w:rsidRPr="00AA10AB">
        <w:rPr>
          <w:rFonts w:ascii="Arial" w:hAnsi="Arial"/>
          <w:sz w:val="22"/>
        </w:rPr>
        <w:t>(€</w:t>
      </w:r>
      <w:r w:rsidR="00AA10AB">
        <w:rPr>
          <w:rFonts w:ascii="Arial" w:hAnsi="Arial"/>
          <w:sz w:val="22"/>
        </w:rPr>
        <w:t xml:space="preserve">500/per livestock unit) </w:t>
      </w:r>
      <w:r w:rsidR="00AA10AB" w:rsidRPr="00AA10AB">
        <w:rPr>
          <w:rFonts w:ascii="Arial" w:hAnsi="Arial"/>
          <w:sz w:val="22"/>
        </w:rPr>
        <w:t xml:space="preserve">to cover additional costs and income foregone resulting from commitment to apply higher </w:t>
      </w:r>
      <w:r w:rsidR="00AA10AB">
        <w:rPr>
          <w:rFonts w:ascii="Arial" w:hAnsi="Arial"/>
          <w:sz w:val="22"/>
        </w:rPr>
        <w:t>AW</w:t>
      </w:r>
      <w:r w:rsidR="00AA10AB" w:rsidRPr="00AA10AB">
        <w:rPr>
          <w:rFonts w:ascii="Arial" w:hAnsi="Arial"/>
          <w:sz w:val="22"/>
        </w:rPr>
        <w:t xml:space="preserve"> standards. Transaction costs maybe also cover</w:t>
      </w:r>
      <w:r w:rsidR="00AA10AB">
        <w:rPr>
          <w:rFonts w:ascii="Arial" w:hAnsi="Arial"/>
          <w:sz w:val="22"/>
        </w:rPr>
        <w:t>ed</w:t>
      </w:r>
      <w:r w:rsidR="00AA10AB" w:rsidRPr="00AA10AB">
        <w:rPr>
          <w:rFonts w:ascii="Arial" w:hAnsi="Arial"/>
          <w:sz w:val="22"/>
        </w:rPr>
        <w:t xml:space="preserve"> when necessary</w:t>
      </w:r>
      <w:r w:rsidR="00AA10AB">
        <w:rPr>
          <w:rFonts w:ascii="Arial" w:hAnsi="Arial"/>
          <w:sz w:val="22"/>
        </w:rPr>
        <w:t xml:space="preserve"> under these provisions</w:t>
      </w:r>
      <w:r w:rsidR="00AA10AB" w:rsidRPr="00AA10AB">
        <w:rPr>
          <w:rFonts w:ascii="Arial" w:hAnsi="Arial"/>
          <w:sz w:val="22"/>
        </w:rPr>
        <w:t>. The application of this measure is h</w:t>
      </w:r>
      <w:r w:rsidR="00AA10AB">
        <w:rPr>
          <w:rFonts w:ascii="Arial" w:hAnsi="Arial"/>
          <w:sz w:val="22"/>
        </w:rPr>
        <w:t>owever due to each member state, and</w:t>
      </w:r>
      <w:r w:rsidR="00AA10AB" w:rsidRPr="00AA10AB">
        <w:rPr>
          <w:rFonts w:ascii="Arial" w:hAnsi="Arial"/>
          <w:sz w:val="22"/>
        </w:rPr>
        <w:t xml:space="preserve"> need</w:t>
      </w:r>
      <w:r w:rsidR="00AA10AB">
        <w:rPr>
          <w:rFonts w:ascii="Arial" w:hAnsi="Arial"/>
          <w:sz w:val="22"/>
        </w:rPr>
        <w:t>s</w:t>
      </w:r>
      <w:r w:rsidR="00AA10AB" w:rsidRPr="00AA10AB">
        <w:rPr>
          <w:rFonts w:ascii="Arial" w:hAnsi="Arial"/>
          <w:sz w:val="22"/>
        </w:rPr>
        <w:t xml:space="preserve"> to</w:t>
      </w:r>
      <w:r w:rsidR="00AA10AB">
        <w:rPr>
          <w:rFonts w:ascii="Arial" w:hAnsi="Arial"/>
          <w:sz w:val="22"/>
        </w:rPr>
        <w:t xml:space="preserve"> be included</w:t>
      </w:r>
      <w:r w:rsidR="00AA10AB" w:rsidRPr="00AA10AB">
        <w:rPr>
          <w:rFonts w:ascii="Arial" w:hAnsi="Arial"/>
          <w:sz w:val="22"/>
        </w:rPr>
        <w:t xml:space="preserve"> in </w:t>
      </w:r>
      <w:r w:rsidR="00AA10AB">
        <w:rPr>
          <w:rFonts w:ascii="Arial" w:hAnsi="Arial"/>
          <w:sz w:val="22"/>
        </w:rPr>
        <w:t>National Development Programmes</w:t>
      </w:r>
      <w:r w:rsidR="00AA10AB" w:rsidRPr="00AA10AB">
        <w:rPr>
          <w:rFonts w:ascii="Arial" w:hAnsi="Arial"/>
          <w:sz w:val="22"/>
        </w:rPr>
        <w:t>.</w:t>
      </w:r>
      <w:r w:rsidR="00036577">
        <w:t xml:space="preserve"> </w:t>
      </w:r>
      <w:r w:rsidR="00AA10AB" w:rsidRPr="00BF5FF3">
        <w:rPr>
          <w:rFonts w:ascii="Arial" w:hAnsi="Arial"/>
          <w:sz w:val="22"/>
        </w:rPr>
        <w:t>Farmers</w:t>
      </w:r>
      <w:r w:rsidR="00036577">
        <w:rPr>
          <w:rFonts w:ascii="Arial" w:hAnsi="Arial"/>
          <w:sz w:val="22"/>
        </w:rPr>
        <w:t xml:space="preserve"> </w:t>
      </w:r>
      <w:r w:rsidR="00AA10AB" w:rsidRPr="00BF5FF3">
        <w:rPr>
          <w:rFonts w:ascii="Arial" w:hAnsi="Arial"/>
          <w:sz w:val="22"/>
        </w:rPr>
        <w:t>(those who volunteer to increase their animal welfare standards) already can receive payments from Pillar 2, and these provisions</w:t>
      </w:r>
      <w:r w:rsidR="00BF5FF3" w:rsidRPr="00BF5FF3">
        <w:rPr>
          <w:rFonts w:ascii="Arial" w:hAnsi="Arial"/>
          <w:sz w:val="22"/>
        </w:rPr>
        <w:t xml:space="preserve"> are to be continued in the next funding period. </w:t>
      </w:r>
    </w:p>
    <w:p w:rsidR="00827600" w:rsidRDefault="00827600" w:rsidP="00077A32">
      <w:pPr>
        <w:pStyle w:val="CommentText"/>
        <w:spacing w:line="240" w:lineRule="auto"/>
        <w:jc w:val="both"/>
        <w:rPr>
          <w:rFonts w:ascii="Arial" w:hAnsi="Arial"/>
          <w:sz w:val="22"/>
        </w:rPr>
      </w:pPr>
      <w:r w:rsidRPr="00BF5FF3">
        <w:rPr>
          <w:rFonts w:ascii="Arial" w:hAnsi="Arial"/>
          <w:sz w:val="22"/>
        </w:rPr>
        <w:t>There is</w:t>
      </w:r>
      <w:r w:rsidR="00036577">
        <w:rPr>
          <w:rFonts w:ascii="Arial" w:hAnsi="Arial"/>
          <w:sz w:val="22"/>
        </w:rPr>
        <w:t xml:space="preserve"> also</w:t>
      </w:r>
      <w:r w:rsidRPr="00BF5FF3">
        <w:rPr>
          <w:rFonts w:ascii="Arial" w:hAnsi="Arial"/>
          <w:sz w:val="22"/>
        </w:rPr>
        <w:t xml:space="preserve"> little doubt that improvements are possible for the efficiency and effectiveness of farm-food supply chains in general, and for animal products in particular. There is a strong case for public (policy) action to help these improvements, and to include animal welfare as a substantive part of this policy development.</w:t>
      </w:r>
      <w:r w:rsidR="000739A9" w:rsidRPr="00BF5FF3">
        <w:rPr>
          <w:rFonts w:ascii="Arial" w:hAnsi="Arial"/>
          <w:sz w:val="22"/>
        </w:rPr>
        <w:t xml:space="preserve"> To do so effectively requires consideration of supply chain barriers to the improvement of animal welfare.</w:t>
      </w:r>
    </w:p>
    <w:p w:rsidR="00077A32" w:rsidRDefault="00077A32" w:rsidP="00077A32">
      <w:pPr>
        <w:widowControl w:val="0"/>
        <w:autoSpaceDE w:val="0"/>
        <w:autoSpaceDN w:val="0"/>
        <w:adjustRightInd w:val="0"/>
        <w:spacing w:after="200"/>
        <w:rPr>
          <w:szCs w:val="20"/>
        </w:rPr>
      </w:pPr>
      <w:r>
        <w:rPr>
          <w:szCs w:val="20"/>
        </w:rPr>
        <w:t xml:space="preserve">Public assistance and support of continued development and improvement of marketing chains, and their capacities to respond to social and consumer demands, are justified if there are public benefits to more efficient and effective supply chains which do not accrue to private businesses. If it is not in the direct interests of supply chain actors to improve coordination and collaboration along the chain, then simple economics suggests that these improvements will not happen without public assistance and support.  In particular, if such improvements make the chains more competitive and responsive to civic and consumer demands, then there is likely to be resistance from vested interests to such improvements. In addition, since capital markets are incomplete and less than fully competitive, investment assistance, especially to </w:t>
      </w:r>
      <w:proofErr w:type="spellStart"/>
      <w:r>
        <w:rPr>
          <w:szCs w:val="20"/>
        </w:rPr>
        <w:t>SMEs</w:t>
      </w:r>
      <w:proofErr w:type="spellEnd"/>
      <w:r>
        <w:rPr>
          <w:szCs w:val="20"/>
        </w:rPr>
        <w:t xml:space="preserve">, cooperative ventures and not-for-profit organisations, is also warranted. Improved animal welfare is one of a number of reasons why, for instance, Pillar 2 assistance to improved farm-food supply chains is justifiable and a significant component of CAP support and assistance to rural and agricultural development.  </w:t>
      </w:r>
    </w:p>
    <w:p w:rsidR="00077A32" w:rsidRPr="00077A32" w:rsidRDefault="00077A32" w:rsidP="00D44C3E">
      <w:pPr>
        <w:pStyle w:val="CommentText"/>
        <w:spacing w:line="240" w:lineRule="auto"/>
        <w:jc w:val="both"/>
        <w:rPr>
          <w:rFonts w:ascii="Arial" w:hAnsi="Arial"/>
          <w:sz w:val="22"/>
        </w:rPr>
      </w:pPr>
      <w:r w:rsidRPr="00077A32">
        <w:rPr>
          <w:rFonts w:ascii="Arial" w:hAnsi="Arial"/>
          <w:sz w:val="22"/>
        </w:rPr>
        <w:t>There are increasing examples in Axis I (investment policy) of Pillar 2 where slaughterhouses are deliberately setting up animal friendly production chains. The Welfare Quality protocols and systems derived from it are used here to monitor the progress in achieved animal welfare. For example, chain projects are under current development in private companies in Spain (supported by IRTA), in Italy (by CRPA) and in the Netherlands (WUR-Livestock Research).</w:t>
      </w:r>
    </w:p>
    <w:p w:rsidR="00E528D2" w:rsidRPr="00606E06" w:rsidRDefault="00D22AE1" w:rsidP="00606E06">
      <w:pPr>
        <w:pStyle w:val="TOCHeading"/>
        <w:rPr>
          <w:i/>
        </w:rPr>
      </w:pPr>
      <w:r w:rsidRPr="00D22AE1">
        <w:rPr>
          <w:i/>
        </w:rPr>
        <w:t xml:space="preserve">Supply Chain Barriers </w:t>
      </w:r>
    </w:p>
    <w:p w:rsidR="00412AF5" w:rsidRDefault="00722D1A" w:rsidP="00E528D2">
      <w:r>
        <w:t xml:space="preserve">There is a very limited literature on the capacity and willingness of supply chains to deliver what the consumer wants and is willing to pay for.  Conventional economic analysis typically assumes that competitive pressures and the continual struggle of firms and businesses to survive and prosper will be sufficient to ensure that ‘gaps in the market’ will be found by enterprising individuals and businesses. It also supposes that any </w:t>
      </w:r>
      <w:proofErr w:type="gramStart"/>
      <w:r>
        <w:t>gaps which are not</w:t>
      </w:r>
      <w:proofErr w:type="gramEnd"/>
      <w:r>
        <w:t xml:space="preserve"> filled result from the practical problem that the costs of meeting and filling the gap are not sufficiently recompensed by the sales to make the enterprise worthwhile – there is no market in the gap.</w:t>
      </w:r>
    </w:p>
    <w:p w:rsidR="008E0589" w:rsidRDefault="00412AF5" w:rsidP="00412AF5">
      <w:pPr>
        <w:widowControl w:val="0"/>
        <w:autoSpaceDE w:val="0"/>
        <w:autoSpaceDN w:val="0"/>
        <w:adjustRightInd w:val="0"/>
        <w:spacing w:after="200"/>
        <w:rPr>
          <w:rFonts w:eastAsiaTheme="minorHAnsi" w:cs="Calibri"/>
          <w:szCs w:val="20"/>
          <w:lang w:val="en-US" w:eastAsia="en-US"/>
        </w:rPr>
      </w:pPr>
      <w:r>
        <w:t xml:space="preserve">Franz </w:t>
      </w:r>
      <w:r>
        <w:rPr>
          <w:i/>
        </w:rPr>
        <w:t>et al.</w:t>
      </w:r>
      <w:r>
        <w:t xml:space="preserve"> 2010, report on an </w:t>
      </w:r>
      <w:r w:rsidRPr="00412AF5">
        <w:rPr>
          <w:rFonts w:eastAsiaTheme="minorHAnsi" w:cs="Calibri"/>
          <w:szCs w:val="18"/>
          <w:lang w:val="en-US" w:eastAsia="en-US"/>
        </w:rPr>
        <w:t>action</w:t>
      </w:r>
      <w:r w:rsidRPr="00412AF5">
        <w:rPr>
          <w:rFonts w:ascii="Calibri" w:eastAsiaTheme="minorHAnsi" w:hAnsi="Calibri" w:cs="Calibri"/>
          <w:szCs w:val="18"/>
          <w:lang w:val="en-US" w:eastAsia="en-US"/>
        </w:rPr>
        <w:t>‐</w:t>
      </w:r>
      <w:r w:rsidRPr="00412AF5">
        <w:rPr>
          <w:rFonts w:eastAsiaTheme="minorHAnsi" w:cs="Calibri"/>
          <w:szCs w:val="18"/>
          <w:lang w:val="en-US" w:eastAsia="en-US"/>
        </w:rPr>
        <w:t xml:space="preserve">based analytical approach </w:t>
      </w:r>
      <w:r>
        <w:rPr>
          <w:rFonts w:eastAsiaTheme="minorHAnsi" w:cs="Calibri"/>
          <w:szCs w:val="18"/>
          <w:lang w:val="en-US" w:eastAsia="en-US"/>
        </w:rPr>
        <w:t>which seeks to identify</w:t>
      </w:r>
      <w:r w:rsidRPr="00412AF5">
        <w:rPr>
          <w:rFonts w:eastAsiaTheme="minorHAnsi" w:cs="Calibri"/>
          <w:szCs w:val="18"/>
          <w:lang w:val="en-US" w:eastAsia="en-US"/>
        </w:rPr>
        <w:t xml:space="preserve"> different barriers within the</w:t>
      </w:r>
      <w:r>
        <w:rPr>
          <w:rFonts w:eastAsiaTheme="minorHAnsi" w:cs="Calibri"/>
          <w:szCs w:val="18"/>
          <w:lang w:val="en-US" w:eastAsia="en-US"/>
        </w:rPr>
        <w:t xml:space="preserve"> </w:t>
      </w:r>
      <w:r w:rsidRPr="00412AF5">
        <w:rPr>
          <w:rFonts w:eastAsiaTheme="minorHAnsi" w:cs="Calibri"/>
          <w:szCs w:val="18"/>
          <w:lang w:val="en-US" w:eastAsia="en-US"/>
        </w:rPr>
        <w:t>supply chain that prevent the establishment of a market segment for animal welfare products</w:t>
      </w:r>
      <w:r>
        <w:rPr>
          <w:rFonts w:eastAsiaTheme="minorHAnsi" w:cs="Calibri"/>
          <w:szCs w:val="18"/>
          <w:lang w:val="en-US" w:eastAsia="en-US"/>
        </w:rPr>
        <w:t>, using th</w:t>
      </w:r>
      <w:r w:rsidR="001E235C">
        <w:rPr>
          <w:rFonts w:eastAsiaTheme="minorHAnsi" w:cs="Calibri"/>
          <w:szCs w:val="18"/>
          <w:lang w:val="en-US" w:eastAsia="en-US"/>
        </w:rPr>
        <w:t xml:space="preserve">e German market as a case study. These authors appear to be motivated </w:t>
      </w:r>
      <w:r w:rsidR="001E235C" w:rsidRPr="00933EFE">
        <w:rPr>
          <w:rFonts w:eastAsiaTheme="minorHAnsi" w:cs="Calibri"/>
          <w:szCs w:val="18"/>
          <w:lang w:val="en-US" w:eastAsia="en-US"/>
        </w:rPr>
        <w:t xml:space="preserve">by </w:t>
      </w:r>
      <w:r w:rsidR="001E235C" w:rsidRPr="00933EFE">
        <w:rPr>
          <w:rFonts w:eastAsiaTheme="minorHAnsi" w:cs="Calibri"/>
          <w:szCs w:val="20"/>
          <w:lang w:val="en-US" w:eastAsia="en-US"/>
        </w:rPr>
        <w:t>the observation that “</w:t>
      </w:r>
      <w:r w:rsidR="001E235C" w:rsidRPr="00933EFE">
        <w:rPr>
          <w:rFonts w:eastAsiaTheme="minorHAnsi" w:cs="Calibri"/>
          <w:i/>
          <w:szCs w:val="20"/>
          <w:lang w:val="en-US" w:eastAsia="en-US"/>
        </w:rPr>
        <w:t>the market offer of animal welfare products is clearly lower than consumer demand</w:t>
      </w:r>
      <w:r w:rsidR="001E235C" w:rsidRPr="00933EFE">
        <w:rPr>
          <w:rFonts w:eastAsiaTheme="minorHAnsi" w:cs="Calibri"/>
          <w:szCs w:val="20"/>
          <w:lang w:val="en-US" w:eastAsia="en-US"/>
        </w:rPr>
        <w:t>” (</w:t>
      </w:r>
      <w:r w:rsidR="00F84384">
        <w:rPr>
          <w:rFonts w:eastAsiaTheme="minorHAnsi" w:cs="Calibri"/>
          <w:szCs w:val="20"/>
          <w:lang w:val="en-US" w:eastAsia="en-US"/>
        </w:rPr>
        <w:t>p</w:t>
      </w:r>
      <w:r w:rsidR="001E235C" w:rsidRPr="00933EFE">
        <w:rPr>
          <w:rFonts w:eastAsiaTheme="minorHAnsi" w:cs="Calibri"/>
          <w:szCs w:val="20"/>
          <w:lang w:val="en-US" w:eastAsia="en-US"/>
        </w:rPr>
        <w:t>319</w:t>
      </w:r>
      <w:r w:rsidR="00F84384">
        <w:rPr>
          <w:rFonts w:eastAsiaTheme="minorHAnsi" w:cs="Calibri"/>
          <w:szCs w:val="20"/>
          <w:lang w:val="en-US" w:eastAsia="en-US"/>
        </w:rPr>
        <w:t>)</w:t>
      </w:r>
      <w:r w:rsidR="001E235C" w:rsidRPr="00933EFE">
        <w:rPr>
          <w:rFonts w:eastAsiaTheme="minorHAnsi" w:cs="Calibri"/>
          <w:szCs w:val="20"/>
          <w:lang w:val="en-US" w:eastAsia="en-US"/>
        </w:rPr>
        <w:t xml:space="preserve">.  However, it should be noted that the documentation for this assertion includes many references which relate to attitudes and hypothetical WTP studies, which are subject to the problems and issues outlined above, and which </w:t>
      </w:r>
      <w:r w:rsidR="008E0589">
        <w:rPr>
          <w:rFonts w:eastAsiaTheme="minorHAnsi" w:cs="Calibri"/>
          <w:szCs w:val="20"/>
          <w:lang w:val="en-US" w:eastAsia="en-US"/>
        </w:rPr>
        <w:t>should not</w:t>
      </w:r>
      <w:r w:rsidR="001E235C" w:rsidRPr="00933EFE">
        <w:rPr>
          <w:rFonts w:eastAsiaTheme="minorHAnsi" w:cs="Calibri"/>
          <w:szCs w:val="20"/>
          <w:lang w:val="en-US" w:eastAsia="en-US"/>
        </w:rPr>
        <w:t xml:space="preserve"> be taken as </w:t>
      </w:r>
      <w:r w:rsidR="001E235C" w:rsidRPr="00933EFE">
        <w:rPr>
          <w:rFonts w:eastAsiaTheme="minorHAnsi" w:cs="Calibri"/>
          <w:i/>
          <w:szCs w:val="20"/>
          <w:lang w:val="en-US" w:eastAsia="en-US"/>
        </w:rPr>
        <w:t>prima facie</w:t>
      </w:r>
      <w:r w:rsidR="001E235C" w:rsidRPr="00933EFE">
        <w:rPr>
          <w:rFonts w:eastAsiaTheme="minorHAnsi" w:cs="Calibri"/>
          <w:szCs w:val="20"/>
          <w:lang w:val="en-US" w:eastAsia="en-US"/>
        </w:rPr>
        <w:t xml:space="preserve"> evidence of a genuine gap in the market.</w:t>
      </w:r>
      <w:r w:rsidR="00606E06">
        <w:rPr>
          <w:rFonts w:eastAsiaTheme="minorHAnsi" w:cs="Calibri"/>
          <w:szCs w:val="20"/>
          <w:lang w:val="en-US" w:eastAsia="en-US"/>
        </w:rPr>
        <w:t xml:space="preserve"> In addition, these researchers note that the problems and issues they address are essentially short-term or transition/adjustment issues, rather than fundamental long-term or permanent barriers.</w:t>
      </w:r>
    </w:p>
    <w:p w:rsidR="00F84384" w:rsidRDefault="008E0589" w:rsidP="00412AF5">
      <w:pPr>
        <w:widowControl w:val="0"/>
        <w:autoSpaceDE w:val="0"/>
        <w:autoSpaceDN w:val="0"/>
        <w:adjustRightInd w:val="0"/>
        <w:spacing w:after="200"/>
        <w:rPr>
          <w:rFonts w:eastAsiaTheme="minorHAnsi" w:cs="Calibri"/>
          <w:szCs w:val="20"/>
          <w:lang w:val="en-US" w:eastAsia="en-US"/>
        </w:rPr>
      </w:pPr>
      <w:r>
        <w:rPr>
          <w:rFonts w:eastAsiaTheme="minorHAnsi" w:cs="Calibri"/>
          <w:szCs w:val="20"/>
          <w:lang w:val="en-US" w:eastAsia="en-US"/>
        </w:rPr>
        <w:t xml:space="preserve">Marketing premium animal friendly products requires that the supply chain is appropriately </w:t>
      </w:r>
      <w:r w:rsidR="00404839">
        <w:rPr>
          <w:rFonts w:eastAsiaTheme="minorHAnsi" w:cs="Calibri"/>
          <w:szCs w:val="20"/>
          <w:lang w:val="en-US" w:eastAsia="en-US"/>
        </w:rPr>
        <w:t>segmented, differentiated</w:t>
      </w:r>
      <w:r w:rsidR="00F749D1">
        <w:rPr>
          <w:rFonts w:eastAsiaTheme="minorHAnsi" w:cs="Calibri"/>
          <w:szCs w:val="20"/>
          <w:lang w:val="en-US" w:eastAsia="en-US"/>
        </w:rPr>
        <w:t xml:space="preserve"> and traceable</w:t>
      </w:r>
      <w:r>
        <w:rPr>
          <w:rFonts w:eastAsiaTheme="minorHAnsi" w:cs="Calibri"/>
          <w:szCs w:val="20"/>
          <w:lang w:val="en-US" w:eastAsia="en-US"/>
        </w:rPr>
        <w:t xml:space="preserve">, which is typically more costly than marketing </w:t>
      </w:r>
      <w:proofErr w:type="gramStart"/>
      <w:r>
        <w:rPr>
          <w:rFonts w:eastAsiaTheme="minorHAnsi" w:cs="Calibri"/>
          <w:szCs w:val="20"/>
          <w:lang w:val="en-US" w:eastAsia="en-US"/>
        </w:rPr>
        <w:t>chains which</w:t>
      </w:r>
      <w:proofErr w:type="gramEnd"/>
      <w:r w:rsidR="00F749D1">
        <w:rPr>
          <w:rFonts w:eastAsiaTheme="minorHAnsi" w:cs="Calibri"/>
          <w:szCs w:val="20"/>
          <w:lang w:val="en-US" w:eastAsia="en-US"/>
        </w:rPr>
        <w:t xml:space="preserve"> ignore origins, processes and provenance of products. While these tracing and differentiation costs are typically prohibitive for </w:t>
      </w:r>
      <w:proofErr w:type="gramStart"/>
      <w:r w:rsidR="00F749D1">
        <w:rPr>
          <w:rFonts w:eastAsiaTheme="minorHAnsi" w:cs="Calibri"/>
          <w:szCs w:val="20"/>
          <w:lang w:val="en-US" w:eastAsia="en-US"/>
        </w:rPr>
        <w:t>chains which</w:t>
      </w:r>
      <w:proofErr w:type="gramEnd"/>
      <w:r w:rsidR="00F749D1">
        <w:rPr>
          <w:rFonts w:eastAsiaTheme="minorHAnsi" w:cs="Calibri"/>
          <w:szCs w:val="20"/>
          <w:lang w:val="en-US" w:eastAsia="en-US"/>
        </w:rPr>
        <w:t xml:space="preserve"> are not already differentiated, the recent development of food markets has led many chains to become substantially differentiated for reasons other than simply animal welfare. Notwithstanding the substantial concentration in the slaughtering, processing and retailing sectors, there is already a large number of differentiated and separately labeled animal product lines, at least in the</w:t>
      </w:r>
      <w:r w:rsidR="00FC3D64">
        <w:rPr>
          <w:rFonts w:eastAsiaTheme="minorHAnsi" w:cs="Calibri"/>
          <w:szCs w:val="20"/>
          <w:lang w:val="en-US" w:eastAsia="en-US"/>
        </w:rPr>
        <w:t xml:space="preserve"> richer</w:t>
      </w:r>
      <w:r w:rsidR="00F749D1">
        <w:rPr>
          <w:rFonts w:eastAsiaTheme="minorHAnsi" w:cs="Calibri"/>
          <w:szCs w:val="20"/>
          <w:lang w:val="en-US" w:eastAsia="en-US"/>
        </w:rPr>
        <w:t xml:space="preserve"> western European countries, which can be further elaborated with improved animal welfare provisi</w:t>
      </w:r>
      <w:r w:rsidR="00F84384">
        <w:rPr>
          <w:rFonts w:eastAsiaTheme="minorHAnsi" w:cs="Calibri"/>
          <w:szCs w:val="20"/>
          <w:lang w:val="en-US" w:eastAsia="en-US"/>
        </w:rPr>
        <w:t xml:space="preserve">ons </w:t>
      </w:r>
      <w:r w:rsidR="00FC3D64">
        <w:rPr>
          <w:rFonts w:eastAsiaTheme="minorHAnsi" w:cs="Calibri"/>
          <w:szCs w:val="20"/>
          <w:lang w:val="en-US" w:eastAsia="en-US"/>
        </w:rPr>
        <w:t xml:space="preserve">as and when </w:t>
      </w:r>
      <w:r w:rsidR="00F84384">
        <w:rPr>
          <w:rFonts w:eastAsiaTheme="minorHAnsi" w:cs="Calibri"/>
          <w:szCs w:val="20"/>
          <w:lang w:val="en-US" w:eastAsia="en-US"/>
        </w:rPr>
        <w:t>demand warrants it.  Perhaps the greatest barrier to further differentiation, or enhancement of existing labels with additional animal welfare provisions, is consumer information overload (</w:t>
      </w:r>
      <w:r w:rsidR="00F84384">
        <w:rPr>
          <w:rFonts w:eastAsiaTheme="minorHAnsi" w:cs="Calibri"/>
          <w:i/>
          <w:szCs w:val="20"/>
          <w:lang w:val="en-US" w:eastAsia="en-US"/>
        </w:rPr>
        <w:t>ibid</w:t>
      </w:r>
      <w:r w:rsidR="00F84384">
        <w:rPr>
          <w:rFonts w:eastAsiaTheme="minorHAnsi" w:cs="Calibri"/>
          <w:szCs w:val="20"/>
          <w:lang w:val="en-US" w:eastAsia="en-US"/>
        </w:rPr>
        <w:t>, p</w:t>
      </w:r>
      <w:r w:rsidR="00FA0452">
        <w:rPr>
          <w:rFonts w:eastAsiaTheme="minorHAnsi" w:cs="Calibri"/>
          <w:szCs w:val="20"/>
          <w:lang w:val="en-US" w:eastAsia="en-US"/>
        </w:rPr>
        <w:t>.</w:t>
      </w:r>
      <w:r w:rsidR="00F84384">
        <w:rPr>
          <w:rFonts w:eastAsiaTheme="minorHAnsi" w:cs="Calibri"/>
          <w:szCs w:val="20"/>
          <w:lang w:val="en-US" w:eastAsia="en-US"/>
        </w:rPr>
        <w:t>319).</w:t>
      </w:r>
    </w:p>
    <w:p w:rsidR="006E6CC0" w:rsidRDefault="00F84384" w:rsidP="00412AF5">
      <w:pPr>
        <w:widowControl w:val="0"/>
        <w:autoSpaceDE w:val="0"/>
        <w:autoSpaceDN w:val="0"/>
        <w:adjustRightInd w:val="0"/>
        <w:spacing w:after="200"/>
        <w:rPr>
          <w:rFonts w:eastAsiaTheme="minorHAnsi" w:cs="Calibri"/>
          <w:szCs w:val="20"/>
          <w:lang w:val="en-US" w:eastAsia="en-US"/>
        </w:rPr>
      </w:pPr>
      <w:r>
        <w:rPr>
          <w:rFonts w:eastAsiaTheme="minorHAnsi" w:cs="Calibri"/>
          <w:szCs w:val="20"/>
          <w:lang w:val="en-US" w:eastAsia="en-US"/>
        </w:rPr>
        <w:t xml:space="preserve">Franz </w:t>
      </w:r>
      <w:r>
        <w:rPr>
          <w:rFonts w:eastAsiaTheme="minorHAnsi" w:cs="Calibri"/>
          <w:i/>
          <w:szCs w:val="20"/>
          <w:lang w:val="en-US" w:eastAsia="en-US"/>
        </w:rPr>
        <w:t>et al. (</w:t>
      </w:r>
      <w:r w:rsidR="00FA0452">
        <w:rPr>
          <w:rFonts w:eastAsiaTheme="minorHAnsi" w:cs="Calibri"/>
          <w:i/>
          <w:szCs w:val="20"/>
          <w:lang w:val="en-US" w:eastAsia="en-US"/>
        </w:rPr>
        <w:t>2010</w:t>
      </w:r>
      <w:r>
        <w:rPr>
          <w:rFonts w:eastAsiaTheme="minorHAnsi" w:cs="Calibri"/>
          <w:szCs w:val="20"/>
          <w:lang w:val="en-US" w:eastAsia="en-US"/>
        </w:rPr>
        <w:t xml:space="preserve">) found that launching a new animal welfare label in Germany requires a good deal of perseverance against a largely reactive and </w:t>
      </w:r>
      <w:r w:rsidR="006E6CC0">
        <w:rPr>
          <w:rFonts w:eastAsiaTheme="minorHAnsi" w:cs="Calibri"/>
          <w:szCs w:val="20"/>
          <w:lang w:val="en-US" w:eastAsia="en-US"/>
        </w:rPr>
        <w:t>skeptical</w:t>
      </w:r>
      <w:r>
        <w:rPr>
          <w:rFonts w:eastAsiaTheme="minorHAnsi" w:cs="Calibri"/>
          <w:szCs w:val="20"/>
          <w:lang w:val="en-US" w:eastAsia="en-US"/>
        </w:rPr>
        <w:t xml:space="preserve"> industry. </w:t>
      </w:r>
      <w:r w:rsidR="006E6CC0">
        <w:rPr>
          <w:rFonts w:eastAsiaTheme="minorHAnsi" w:cs="Calibri"/>
          <w:szCs w:val="20"/>
          <w:lang w:val="en-US" w:eastAsia="en-US"/>
        </w:rPr>
        <w:t xml:space="preserve">The industry can be very unwilling to contemplate the considerable costs and risks associated with more specific differentiation of the supply chain purely on the grounds of animal welfare provisions. While recognizing that some people may be willing to pay a premium for </w:t>
      </w:r>
      <w:r w:rsidR="00FA0452">
        <w:rPr>
          <w:rFonts w:eastAsiaTheme="minorHAnsi" w:cs="Calibri"/>
          <w:szCs w:val="20"/>
          <w:lang w:val="en-US" w:eastAsia="en-US"/>
        </w:rPr>
        <w:t xml:space="preserve">animal </w:t>
      </w:r>
      <w:r w:rsidR="006E6CC0">
        <w:rPr>
          <w:rFonts w:eastAsiaTheme="minorHAnsi" w:cs="Calibri"/>
          <w:szCs w:val="20"/>
          <w:lang w:val="en-US" w:eastAsia="en-US"/>
        </w:rPr>
        <w:t>welfare friendly products (a gap in the market), there is considerable doubt amongst many in the supply chain that there is a real market in this gap – the niche</w:t>
      </w:r>
      <w:r w:rsidR="003D055A">
        <w:rPr>
          <w:rFonts w:eastAsiaTheme="minorHAnsi" w:cs="Calibri"/>
          <w:szCs w:val="20"/>
          <w:lang w:val="en-US" w:eastAsia="en-US"/>
        </w:rPr>
        <w:t xml:space="preserve"> for specifically animal welfare friendly products (as opposed to welfare attributes ‘packaged’ with other (local, organic, branded) attributes)</w:t>
      </w:r>
      <w:r w:rsidR="006E6CC0">
        <w:rPr>
          <w:rFonts w:eastAsiaTheme="minorHAnsi" w:cs="Calibri"/>
          <w:szCs w:val="20"/>
          <w:lang w:val="en-US" w:eastAsia="en-US"/>
        </w:rPr>
        <w:t xml:space="preserve"> is </w:t>
      </w:r>
      <w:r w:rsidR="005D06BB">
        <w:rPr>
          <w:rFonts w:eastAsiaTheme="minorHAnsi" w:cs="Calibri"/>
          <w:szCs w:val="20"/>
          <w:lang w:val="en-US" w:eastAsia="en-US"/>
        </w:rPr>
        <w:t>still</w:t>
      </w:r>
      <w:r w:rsidR="003D055A">
        <w:rPr>
          <w:rFonts w:eastAsiaTheme="minorHAnsi" w:cs="Calibri"/>
          <w:szCs w:val="20"/>
          <w:lang w:val="en-US" w:eastAsia="en-US"/>
        </w:rPr>
        <w:t xml:space="preserve"> too</w:t>
      </w:r>
      <w:r w:rsidR="005D06BB">
        <w:rPr>
          <w:rFonts w:eastAsiaTheme="minorHAnsi" w:cs="Calibri"/>
          <w:szCs w:val="20"/>
          <w:lang w:val="en-US" w:eastAsia="en-US"/>
        </w:rPr>
        <w:t xml:space="preserve"> </w:t>
      </w:r>
      <w:r w:rsidR="006E6CC0">
        <w:rPr>
          <w:rFonts w:eastAsiaTheme="minorHAnsi" w:cs="Calibri"/>
          <w:szCs w:val="20"/>
          <w:lang w:val="en-US" w:eastAsia="en-US"/>
        </w:rPr>
        <w:t>small to make it worthwhile.</w:t>
      </w:r>
    </w:p>
    <w:p w:rsidR="00404839" w:rsidRDefault="006E6CC0" w:rsidP="00404839">
      <w:pPr>
        <w:widowControl w:val="0"/>
        <w:autoSpaceDE w:val="0"/>
        <w:autoSpaceDN w:val="0"/>
        <w:adjustRightInd w:val="0"/>
        <w:spacing w:after="200"/>
        <w:rPr>
          <w:rFonts w:eastAsiaTheme="minorHAnsi" w:cs="Calibri"/>
          <w:szCs w:val="20"/>
          <w:lang w:val="en-US" w:eastAsia="en-US"/>
        </w:rPr>
      </w:pPr>
      <w:r>
        <w:rPr>
          <w:rFonts w:eastAsiaTheme="minorHAnsi" w:cs="Calibri"/>
          <w:szCs w:val="20"/>
          <w:lang w:val="en-US" w:eastAsia="en-US"/>
        </w:rPr>
        <w:t>However, the major retailers (especially) are continuing to differentiate their own label product lines, emphasizing quality,</w:t>
      </w:r>
      <w:r w:rsidR="00D74AC5">
        <w:rPr>
          <w:rFonts w:eastAsiaTheme="minorHAnsi" w:cs="Calibri"/>
          <w:szCs w:val="20"/>
          <w:lang w:val="en-US" w:eastAsia="en-US"/>
        </w:rPr>
        <w:t xml:space="preserve"> origins and production systems. As already with organic labels, these premium and quality products are more </w:t>
      </w:r>
      <w:r w:rsidR="005D06BB">
        <w:rPr>
          <w:rFonts w:eastAsiaTheme="minorHAnsi" w:cs="Calibri"/>
          <w:szCs w:val="20"/>
          <w:lang w:val="en-US" w:eastAsia="en-US"/>
        </w:rPr>
        <w:t xml:space="preserve">animal </w:t>
      </w:r>
      <w:r w:rsidR="00D74AC5">
        <w:rPr>
          <w:rFonts w:eastAsiaTheme="minorHAnsi" w:cs="Calibri"/>
          <w:szCs w:val="20"/>
          <w:lang w:val="en-US" w:eastAsia="en-US"/>
        </w:rPr>
        <w:t xml:space="preserve">welfare friendly as retailers recognize the threats to their brands and corporate images should media stories emerge about insensitive treatment of animals in their supply chains. Franz </w:t>
      </w:r>
      <w:r w:rsidR="00D74AC5">
        <w:rPr>
          <w:rFonts w:eastAsiaTheme="minorHAnsi" w:cs="Calibri"/>
          <w:i/>
          <w:szCs w:val="20"/>
          <w:lang w:val="en-US" w:eastAsia="en-US"/>
        </w:rPr>
        <w:t xml:space="preserve">et al. </w:t>
      </w:r>
      <w:r w:rsidR="00D74AC5">
        <w:rPr>
          <w:rFonts w:eastAsiaTheme="minorHAnsi" w:cs="Calibri"/>
          <w:szCs w:val="20"/>
          <w:lang w:val="en-US" w:eastAsia="en-US"/>
        </w:rPr>
        <w:t>appear convinced by their supply chain participants (in Germany) that: “</w:t>
      </w:r>
      <w:r w:rsidR="00D74AC5" w:rsidRPr="00D74AC5">
        <w:rPr>
          <w:rFonts w:eastAsiaTheme="minorHAnsi" w:cs="Calibri"/>
          <w:i/>
          <w:szCs w:val="20"/>
          <w:lang w:val="en-US" w:eastAsia="en-US"/>
        </w:rPr>
        <w:t>Most products are marketed using price arguments instead of emphasizing specific qualities.</w:t>
      </w:r>
      <w:r w:rsidR="00D74AC5">
        <w:rPr>
          <w:rFonts w:eastAsiaTheme="minorHAnsi" w:cs="Calibri"/>
          <w:i/>
          <w:szCs w:val="20"/>
          <w:lang w:val="en-US" w:eastAsia="en-US"/>
        </w:rPr>
        <w:t xml:space="preserve"> </w:t>
      </w:r>
      <w:r w:rsidR="00D74AC5" w:rsidRPr="00D74AC5">
        <w:rPr>
          <w:rFonts w:eastAsiaTheme="minorHAnsi" w:cs="Calibri"/>
          <w:i/>
          <w:szCs w:val="20"/>
          <w:lang w:val="en-US" w:eastAsia="en-US"/>
        </w:rPr>
        <w:t>Especially in the meat industry the perception is widely spread that there are only small niches for brands</w:t>
      </w:r>
      <w:r w:rsidR="00D74AC5">
        <w:rPr>
          <w:rFonts w:eastAsiaTheme="minorHAnsi" w:cs="Calibri"/>
          <w:i/>
          <w:szCs w:val="20"/>
          <w:lang w:val="en-US" w:eastAsia="en-US"/>
        </w:rPr>
        <w:t xml:space="preserve"> </w:t>
      </w:r>
      <w:r w:rsidR="00D74AC5" w:rsidRPr="00D74AC5">
        <w:rPr>
          <w:rFonts w:eastAsiaTheme="minorHAnsi" w:cs="Calibri"/>
          <w:i/>
          <w:szCs w:val="20"/>
          <w:lang w:val="en-US" w:eastAsia="en-US"/>
        </w:rPr>
        <w:t xml:space="preserve">and </w:t>
      </w:r>
      <w:proofErr w:type="spellStart"/>
      <w:r w:rsidR="00D74AC5" w:rsidRPr="00D74AC5">
        <w:rPr>
          <w:rFonts w:eastAsiaTheme="minorHAnsi" w:cs="Calibri"/>
          <w:i/>
          <w:szCs w:val="20"/>
          <w:lang w:val="en-US" w:eastAsia="en-US"/>
        </w:rPr>
        <w:t>special</w:t>
      </w:r>
      <w:r w:rsidR="005D06BB">
        <w:rPr>
          <w:rFonts w:eastAsiaTheme="minorHAnsi" w:cs="Calibri"/>
          <w:i/>
          <w:szCs w:val="20"/>
          <w:lang w:val="en-US" w:eastAsia="en-US"/>
        </w:rPr>
        <w:t>i</w:t>
      </w:r>
      <w:r w:rsidR="00D74AC5" w:rsidRPr="00D74AC5">
        <w:rPr>
          <w:rFonts w:eastAsiaTheme="minorHAnsi" w:cs="Calibri"/>
          <w:i/>
          <w:szCs w:val="20"/>
          <w:lang w:val="en-US" w:eastAsia="en-US"/>
        </w:rPr>
        <w:t>ty</w:t>
      </w:r>
      <w:proofErr w:type="spellEnd"/>
      <w:r w:rsidR="00D74AC5" w:rsidRPr="00D74AC5">
        <w:rPr>
          <w:rFonts w:eastAsiaTheme="minorHAnsi" w:cs="Calibri"/>
          <w:i/>
          <w:szCs w:val="20"/>
          <w:lang w:val="en-US" w:eastAsia="en-US"/>
        </w:rPr>
        <w:t xml:space="preserve"> products. T</w:t>
      </w:r>
      <w:r w:rsidR="00D74AC5">
        <w:rPr>
          <w:rFonts w:eastAsiaTheme="minorHAnsi" w:cs="Calibri"/>
          <w:i/>
          <w:szCs w:val="20"/>
          <w:lang w:val="en-US" w:eastAsia="en-US"/>
        </w:rPr>
        <w:t>herefore, price competition, i.</w:t>
      </w:r>
      <w:r w:rsidR="00D74AC5" w:rsidRPr="00D74AC5">
        <w:rPr>
          <w:rFonts w:eastAsiaTheme="minorHAnsi" w:cs="Calibri"/>
          <w:i/>
          <w:szCs w:val="20"/>
          <w:lang w:val="en-US" w:eastAsia="en-US"/>
        </w:rPr>
        <w:t>e. the cost leadership strategy clearly dominates</w:t>
      </w:r>
      <w:r w:rsidR="00D74AC5">
        <w:rPr>
          <w:rFonts w:eastAsiaTheme="minorHAnsi" w:cs="Calibri"/>
          <w:i/>
          <w:szCs w:val="20"/>
          <w:lang w:val="en-US" w:eastAsia="en-US"/>
        </w:rPr>
        <w:t xml:space="preserve"> </w:t>
      </w:r>
      <w:r w:rsidR="00D74AC5" w:rsidRPr="00D74AC5">
        <w:rPr>
          <w:rFonts w:eastAsiaTheme="minorHAnsi" w:cs="Calibri"/>
          <w:i/>
          <w:szCs w:val="20"/>
          <w:lang w:val="en-US" w:eastAsia="en-US"/>
        </w:rPr>
        <w:t>the meat industry</w:t>
      </w:r>
      <w:r w:rsidR="00D74AC5">
        <w:rPr>
          <w:rFonts w:eastAsiaTheme="minorHAnsi" w:cs="Calibri"/>
          <w:szCs w:val="20"/>
          <w:lang w:val="en-US" w:eastAsia="en-US"/>
        </w:rPr>
        <w:t xml:space="preserve"> (p</w:t>
      </w:r>
      <w:r w:rsidR="005D06BB">
        <w:rPr>
          <w:rFonts w:eastAsiaTheme="minorHAnsi" w:cs="Calibri"/>
          <w:szCs w:val="20"/>
          <w:lang w:val="en-US" w:eastAsia="en-US"/>
        </w:rPr>
        <w:t>.</w:t>
      </w:r>
      <w:r w:rsidR="00D74AC5">
        <w:rPr>
          <w:rFonts w:eastAsiaTheme="minorHAnsi" w:cs="Calibri"/>
          <w:szCs w:val="20"/>
          <w:lang w:val="en-US" w:eastAsia="en-US"/>
        </w:rPr>
        <w:t xml:space="preserve"> 323). However, the proliferation of premium and differentiated brands over the past two decades suggests that this characterization is both too simple and also now rather out-of date.</w:t>
      </w:r>
    </w:p>
    <w:p w:rsidR="00404839" w:rsidRDefault="003D055A" w:rsidP="00404839">
      <w:pPr>
        <w:widowControl w:val="0"/>
        <w:autoSpaceDE w:val="0"/>
        <w:autoSpaceDN w:val="0"/>
        <w:adjustRightInd w:val="0"/>
        <w:spacing w:after="200"/>
        <w:rPr>
          <w:rFonts w:eastAsiaTheme="minorHAnsi" w:cs="SPSTimes-Roman"/>
          <w:color w:val="000000"/>
          <w:szCs w:val="20"/>
          <w:lang w:val="en-US" w:eastAsia="en-US"/>
        </w:rPr>
      </w:pPr>
      <w:r>
        <w:rPr>
          <w:rFonts w:eastAsiaTheme="minorHAnsi" w:cs="Calibri"/>
          <w:szCs w:val="20"/>
          <w:lang w:val="en-US" w:eastAsia="en-US"/>
        </w:rPr>
        <w:t>Since</w:t>
      </w:r>
      <w:r w:rsidR="00404839">
        <w:rPr>
          <w:rFonts w:eastAsiaTheme="minorHAnsi" w:cs="Calibri"/>
          <w:szCs w:val="20"/>
          <w:lang w:val="en-US" w:eastAsia="en-US"/>
        </w:rPr>
        <w:t xml:space="preserve"> there is a clear and well-founded resistance to developing brands and labels which solely relate to animal welfare</w:t>
      </w:r>
      <w:r>
        <w:rPr>
          <w:rFonts w:eastAsiaTheme="minorHAnsi" w:cs="Calibri"/>
          <w:szCs w:val="20"/>
          <w:lang w:val="en-US" w:eastAsia="en-US"/>
        </w:rPr>
        <w:t>,</w:t>
      </w:r>
      <w:r w:rsidR="00404839">
        <w:rPr>
          <w:rFonts w:eastAsiaTheme="minorHAnsi" w:cs="Calibri"/>
          <w:szCs w:val="20"/>
          <w:lang w:val="en-US" w:eastAsia="en-US"/>
        </w:rPr>
        <w:t xml:space="preserve"> the evidence and logic points to an approach which integrates animal welfare with other dimensions of quality, and packages animal welfare with these other dimensions.  As </w:t>
      </w:r>
      <w:proofErr w:type="spellStart"/>
      <w:r w:rsidR="00404839">
        <w:rPr>
          <w:rFonts w:eastAsiaTheme="minorHAnsi" w:cs="Calibri"/>
          <w:szCs w:val="20"/>
          <w:lang w:val="en-US" w:eastAsia="en-US"/>
        </w:rPr>
        <w:t>Codron</w:t>
      </w:r>
      <w:proofErr w:type="spellEnd"/>
      <w:r w:rsidR="00404839">
        <w:rPr>
          <w:rFonts w:eastAsiaTheme="minorHAnsi" w:cs="Calibri"/>
          <w:szCs w:val="20"/>
          <w:lang w:val="en-US" w:eastAsia="en-US"/>
        </w:rPr>
        <w:t xml:space="preserve"> </w:t>
      </w:r>
      <w:r w:rsidR="00404839">
        <w:rPr>
          <w:rFonts w:eastAsiaTheme="minorHAnsi" w:cs="Calibri"/>
          <w:i/>
          <w:szCs w:val="20"/>
          <w:lang w:val="en-US" w:eastAsia="en-US"/>
        </w:rPr>
        <w:t>et a</w:t>
      </w:r>
      <w:r w:rsidR="007805A8">
        <w:rPr>
          <w:rFonts w:eastAsiaTheme="minorHAnsi" w:cs="Calibri"/>
          <w:i/>
          <w:szCs w:val="20"/>
          <w:lang w:val="en-US" w:eastAsia="en-US"/>
        </w:rPr>
        <w:t>l</w:t>
      </w:r>
      <w:r w:rsidR="00404839">
        <w:rPr>
          <w:rFonts w:eastAsiaTheme="minorHAnsi" w:cs="Calibri"/>
          <w:szCs w:val="20"/>
          <w:lang w:val="en-US" w:eastAsia="en-US"/>
        </w:rPr>
        <w:t xml:space="preserve">, </w:t>
      </w:r>
      <w:r w:rsidR="005D06BB">
        <w:rPr>
          <w:rFonts w:eastAsiaTheme="minorHAnsi" w:cs="Calibri"/>
          <w:szCs w:val="20"/>
          <w:lang w:val="en-US" w:eastAsia="en-US"/>
        </w:rPr>
        <w:t>(</w:t>
      </w:r>
      <w:r w:rsidR="00404839">
        <w:rPr>
          <w:rFonts w:eastAsiaTheme="minorHAnsi" w:cs="Calibri"/>
          <w:szCs w:val="20"/>
          <w:lang w:val="en-US" w:eastAsia="en-US"/>
        </w:rPr>
        <w:t>2005</w:t>
      </w:r>
      <w:r w:rsidR="005D06BB">
        <w:rPr>
          <w:rFonts w:eastAsiaTheme="minorHAnsi" w:cs="Calibri"/>
          <w:szCs w:val="20"/>
          <w:lang w:val="en-US" w:eastAsia="en-US"/>
        </w:rPr>
        <w:t>)</w:t>
      </w:r>
      <w:r w:rsidR="00404839">
        <w:rPr>
          <w:rFonts w:eastAsiaTheme="minorHAnsi" w:cs="Calibri"/>
          <w:szCs w:val="20"/>
          <w:lang w:val="en-US" w:eastAsia="en-US"/>
        </w:rPr>
        <w:t xml:space="preserve"> note: </w:t>
      </w:r>
      <w:r w:rsidR="00404839">
        <w:rPr>
          <w:rFonts w:ascii="Calibri" w:eastAsiaTheme="minorHAnsi" w:hAnsi="Calibri" w:cs="Calibri"/>
          <w:sz w:val="20"/>
          <w:szCs w:val="20"/>
          <w:lang w:val="en-US" w:eastAsia="en-US"/>
        </w:rPr>
        <w:t xml:space="preserve"> </w:t>
      </w:r>
      <w:r w:rsidR="00DA242C" w:rsidRPr="00404839">
        <w:rPr>
          <w:rFonts w:eastAsiaTheme="minorHAnsi" w:cs="Calibri"/>
          <w:i/>
          <w:szCs w:val="20"/>
          <w:lang w:val="en-US" w:eastAsia="en-US"/>
        </w:rPr>
        <w:t>“</w:t>
      </w:r>
      <w:r w:rsidR="00DA242C" w:rsidRPr="00404839">
        <w:rPr>
          <w:rFonts w:eastAsiaTheme="minorHAnsi" w:cs="SPSTimes-Roman"/>
          <w:i/>
          <w:color w:val="000000"/>
          <w:szCs w:val="20"/>
          <w:lang w:val="en-US" w:eastAsia="en-US"/>
        </w:rPr>
        <w:t>Atomized production</w:t>
      </w:r>
      <w:r w:rsidR="00404839">
        <w:rPr>
          <w:rFonts w:ascii="Calibri" w:eastAsiaTheme="minorHAnsi" w:hAnsi="Calibri" w:cs="Calibri"/>
          <w:sz w:val="20"/>
          <w:szCs w:val="20"/>
          <w:lang w:val="en-US" w:eastAsia="en-US"/>
        </w:rPr>
        <w:t xml:space="preserve"> </w:t>
      </w:r>
      <w:r w:rsidR="00DA242C" w:rsidRPr="00404839">
        <w:rPr>
          <w:rFonts w:eastAsiaTheme="minorHAnsi" w:cs="SPSTimes-Roman"/>
          <w:i/>
          <w:color w:val="000000"/>
          <w:szCs w:val="20"/>
          <w:lang w:val="en-US" w:eastAsia="en-US"/>
        </w:rPr>
        <w:t>structures and weak producer brands expose retailers to substantial risks, vis-à-vis</w:t>
      </w:r>
      <w:r w:rsidR="00404839">
        <w:rPr>
          <w:rFonts w:ascii="Calibri" w:eastAsiaTheme="minorHAnsi" w:hAnsi="Calibri" w:cs="Calibri"/>
          <w:sz w:val="20"/>
          <w:szCs w:val="20"/>
          <w:lang w:val="en-US" w:eastAsia="en-US"/>
        </w:rPr>
        <w:t xml:space="preserve"> </w:t>
      </w:r>
      <w:r w:rsidR="00DA242C" w:rsidRPr="00404839">
        <w:rPr>
          <w:rFonts w:eastAsiaTheme="minorHAnsi" w:cs="SPSTimes-Roman"/>
          <w:i/>
          <w:color w:val="000000"/>
          <w:szCs w:val="20"/>
          <w:lang w:val="en-US" w:eastAsia="en-US"/>
        </w:rPr>
        <w:t>both government and consumers. Those risks led retailers to: (1) change over time</w:t>
      </w:r>
      <w:r w:rsidR="00404839">
        <w:rPr>
          <w:rFonts w:ascii="Calibri" w:eastAsiaTheme="minorHAnsi" w:hAnsi="Calibri" w:cs="Calibri"/>
          <w:sz w:val="20"/>
          <w:szCs w:val="20"/>
          <w:lang w:val="en-US" w:eastAsia="en-US"/>
        </w:rPr>
        <w:t xml:space="preserve"> </w:t>
      </w:r>
      <w:r w:rsidR="00DA242C" w:rsidRPr="00404839">
        <w:rPr>
          <w:rFonts w:eastAsiaTheme="minorHAnsi" w:cs="SPSTimes-Roman"/>
          <w:i/>
          <w:color w:val="000000"/>
          <w:szCs w:val="20"/>
          <w:lang w:val="en-US" w:eastAsia="en-US"/>
        </w:rPr>
        <w:t>new product line segmentation approaches; (2) develop consumer information campaigns</w:t>
      </w:r>
      <w:r w:rsidR="00404839">
        <w:rPr>
          <w:rFonts w:ascii="Calibri" w:eastAsiaTheme="minorHAnsi" w:hAnsi="Calibri" w:cs="Calibri"/>
          <w:sz w:val="20"/>
          <w:szCs w:val="20"/>
          <w:lang w:val="en-US" w:eastAsia="en-US"/>
        </w:rPr>
        <w:t xml:space="preserve"> </w:t>
      </w:r>
      <w:r w:rsidR="00DA242C" w:rsidRPr="00404839">
        <w:rPr>
          <w:rFonts w:eastAsiaTheme="minorHAnsi" w:cs="SPSTimes-Roman"/>
          <w:i/>
          <w:color w:val="000000"/>
          <w:szCs w:val="20"/>
          <w:lang w:val="en-US" w:eastAsia="en-US"/>
        </w:rPr>
        <w:t>based on new Private Labels; (3) become involved far more in the choice of</w:t>
      </w:r>
      <w:r w:rsidR="00404839">
        <w:rPr>
          <w:rFonts w:ascii="Calibri" w:eastAsiaTheme="minorHAnsi" w:hAnsi="Calibri" w:cs="Calibri"/>
          <w:sz w:val="20"/>
          <w:szCs w:val="20"/>
          <w:lang w:val="en-US" w:eastAsia="en-US"/>
        </w:rPr>
        <w:t xml:space="preserve"> </w:t>
      </w:r>
      <w:r w:rsidR="00DA242C" w:rsidRPr="00404839">
        <w:rPr>
          <w:rFonts w:eastAsiaTheme="minorHAnsi" w:cs="SPSTimes-Roman"/>
          <w:i/>
          <w:color w:val="000000"/>
          <w:szCs w:val="20"/>
          <w:lang w:val="en-US" w:eastAsia="en-US"/>
        </w:rPr>
        <w:t>production systems used by their suppliers, in particular via the imposition of private</w:t>
      </w:r>
      <w:r w:rsidR="00404839">
        <w:rPr>
          <w:rFonts w:ascii="Calibri" w:eastAsiaTheme="minorHAnsi" w:hAnsi="Calibri" w:cs="Calibri"/>
          <w:sz w:val="20"/>
          <w:szCs w:val="20"/>
          <w:lang w:val="en-US" w:eastAsia="en-US"/>
        </w:rPr>
        <w:t xml:space="preserve"> </w:t>
      </w:r>
      <w:r w:rsidR="00DA242C" w:rsidRPr="00404839">
        <w:rPr>
          <w:rFonts w:eastAsiaTheme="minorHAnsi" w:cs="SPSTimes-Roman"/>
          <w:i/>
          <w:color w:val="000000"/>
          <w:szCs w:val="20"/>
          <w:lang w:val="en-US" w:eastAsia="en-US"/>
        </w:rPr>
        <w:t>standards related to production practices: notebook records of production practices,</w:t>
      </w:r>
      <w:r w:rsidR="00404839">
        <w:rPr>
          <w:rFonts w:ascii="Calibri" w:eastAsiaTheme="minorHAnsi" w:hAnsi="Calibri" w:cs="Calibri"/>
          <w:sz w:val="20"/>
          <w:szCs w:val="20"/>
          <w:lang w:val="en-US" w:eastAsia="en-US"/>
        </w:rPr>
        <w:t xml:space="preserve"> </w:t>
      </w:r>
      <w:r w:rsidR="00DA242C" w:rsidRPr="00404839">
        <w:rPr>
          <w:rFonts w:eastAsiaTheme="minorHAnsi" w:cs="SPSTimes-Roman"/>
          <w:i/>
          <w:color w:val="000000"/>
          <w:szCs w:val="20"/>
          <w:lang w:val="en-US" w:eastAsia="en-US"/>
        </w:rPr>
        <w:t>codes of Good Agricultural Practices (</w:t>
      </w:r>
      <w:proofErr w:type="spellStart"/>
      <w:r w:rsidR="00DA242C" w:rsidRPr="00404839">
        <w:rPr>
          <w:rFonts w:eastAsiaTheme="minorHAnsi" w:cs="SPSTimes-Roman"/>
          <w:i/>
          <w:color w:val="000000"/>
          <w:szCs w:val="20"/>
          <w:lang w:val="en-US" w:eastAsia="en-US"/>
        </w:rPr>
        <w:t>GA</w:t>
      </w:r>
      <w:r w:rsidR="00404839">
        <w:rPr>
          <w:rFonts w:eastAsiaTheme="minorHAnsi" w:cs="SPSTimes-Roman"/>
          <w:i/>
          <w:color w:val="000000"/>
          <w:szCs w:val="20"/>
          <w:lang w:val="en-US" w:eastAsia="en-US"/>
        </w:rPr>
        <w:t>Ps</w:t>
      </w:r>
      <w:proofErr w:type="spellEnd"/>
      <w:r w:rsidR="00404839">
        <w:rPr>
          <w:rFonts w:eastAsiaTheme="minorHAnsi" w:cs="SPSTimes-Roman"/>
          <w:i/>
          <w:color w:val="000000"/>
          <w:szCs w:val="20"/>
          <w:lang w:val="en-US" w:eastAsia="en-US"/>
        </w:rPr>
        <w:t xml:space="preserve">), and farm assurance schemes. </w:t>
      </w:r>
      <w:proofErr w:type="gramStart"/>
      <w:r w:rsidR="00404839">
        <w:rPr>
          <w:rFonts w:eastAsiaTheme="minorHAnsi" w:cs="SPSTimes-Roman"/>
          <w:i/>
          <w:color w:val="000000"/>
          <w:szCs w:val="20"/>
          <w:lang w:val="en-US" w:eastAsia="en-US"/>
        </w:rPr>
        <w:t>..</w:t>
      </w:r>
      <w:proofErr w:type="gramEnd"/>
      <w:r w:rsidR="00404839">
        <w:rPr>
          <w:rFonts w:eastAsiaTheme="minorHAnsi" w:cs="SPSTimes-Roman"/>
          <w:i/>
          <w:color w:val="000000"/>
          <w:szCs w:val="20"/>
          <w:lang w:val="en-US" w:eastAsia="en-US"/>
        </w:rPr>
        <w:t xml:space="preserve"> </w:t>
      </w:r>
      <w:r w:rsidR="00404839" w:rsidRPr="00404839">
        <w:rPr>
          <w:rFonts w:eastAsiaTheme="minorHAnsi" w:cs="SPSTimes-Roman"/>
          <w:i/>
          <w:szCs w:val="20"/>
          <w:lang w:val="en-US" w:eastAsia="en-US"/>
        </w:rPr>
        <w:t>The differentials in</w:t>
      </w:r>
      <w:r w:rsidR="00404839">
        <w:rPr>
          <w:rFonts w:eastAsiaTheme="minorHAnsi" w:cs="SPSTimes-Roman"/>
          <w:i/>
          <w:szCs w:val="20"/>
          <w:lang w:val="en-US" w:eastAsia="en-US"/>
        </w:rPr>
        <w:t xml:space="preserve"> </w:t>
      </w:r>
      <w:r w:rsidR="00404839" w:rsidRPr="00404839">
        <w:rPr>
          <w:rFonts w:eastAsiaTheme="minorHAnsi" w:cs="SPSTimes-Roman"/>
          <w:i/>
          <w:szCs w:val="20"/>
          <w:lang w:val="en-US" w:eastAsia="en-US"/>
        </w:rPr>
        <w:t>requirements for producers, in quality, and in price, are determined by the degree of</w:t>
      </w:r>
      <w:r w:rsidR="00404839">
        <w:rPr>
          <w:rFonts w:eastAsiaTheme="minorHAnsi" w:cs="SPSTimes-Roman"/>
          <w:i/>
          <w:szCs w:val="20"/>
          <w:lang w:val="en-US" w:eastAsia="en-US"/>
        </w:rPr>
        <w:t xml:space="preserve"> </w:t>
      </w:r>
      <w:r w:rsidR="00404839" w:rsidRPr="00404839">
        <w:rPr>
          <w:rFonts w:eastAsiaTheme="minorHAnsi" w:cs="SPSTimes-Roman"/>
          <w:i/>
          <w:szCs w:val="20"/>
          <w:lang w:val="en-US" w:eastAsia="en-US"/>
        </w:rPr>
        <w:t>competition among chains and the targeted consumer segment.</w:t>
      </w:r>
      <w:r w:rsidR="00404839">
        <w:rPr>
          <w:rFonts w:eastAsiaTheme="minorHAnsi" w:cs="SPSTimes-Roman"/>
          <w:i/>
          <w:color w:val="000000"/>
          <w:szCs w:val="20"/>
          <w:lang w:val="en-US" w:eastAsia="en-US"/>
        </w:rPr>
        <w:t xml:space="preserve"> </w:t>
      </w:r>
      <w:r w:rsidR="00404839">
        <w:rPr>
          <w:rFonts w:eastAsiaTheme="minorHAnsi" w:cs="SPSTimes-Roman"/>
          <w:color w:val="000000"/>
          <w:szCs w:val="20"/>
          <w:lang w:val="en-US" w:eastAsia="en-US"/>
        </w:rPr>
        <w:t>(</w:t>
      </w:r>
      <w:proofErr w:type="gramStart"/>
      <w:r w:rsidR="00404839">
        <w:rPr>
          <w:rFonts w:eastAsiaTheme="minorHAnsi" w:cs="SPSTimes-Roman"/>
          <w:color w:val="000000"/>
          <w:szCs w:val="20"/>
          <w:lang w:val="en-US" w:eastAsia="en-US"/>
        </w:rPr>
        <w:t>p</w:t>
      </w:r>
      <w:proofErr w:type="gramEnd"/>
      <w:r w:rsidR="00404839">
        <w:rPr>
          <w:rFonts w:eastAsiaTheme="minorHAnsi" w:cs="SPSTimes-Roman"/>
          <w:color w:val="000000"/>
          <w:szCs w:val="20"/>
          <w:lang w:val="en-US" w:eastAsia="en-US"/>
        </w:rPr>
        <w:t xml:space="preserve"> 271- 2).</w:t>
      </w:r>
    </w:p>
    <w:p w:rsidR="00404839" w:rsidRPr="00344545" w:rsidRDefault="00404839" w:rsidP="00344545">
      <w:pPr>
        <w:widowControl w:val="0"/>
        <w:autoSpaceDE w:val="0"/>
        <w:autoSpaceDN w:val="0"/>
        <w:adjustRightInd w:val="0"/>
        <w:spacing w:after="200"/>
        <w:rPr>
          <w:rFonts w:eastAsiaTheme="minorHAnsi" w:cs="SPSTimes-Roman"/>
          <w:color w:val="000000"/>
          <w:szCs w:val="20"/>
          <w:lang w:val="en-US" w:eastAsia="en-US"/>
        </w:rPr>
      </w:pPr>
      <w:r>
        <w:rPr>
          <w:rFonts w:eastAsiaTheme="minorHAnsi" w:cs="SPSTimes-Roman"/>
          <w:color w:val="000000"/>
          <w:szCs w:val="20"/>
          <w:lang w:val="en-US" w:eastAsia="en-US"/>
        </w:rPr>
        <w:t xml:space="preserve">These authors </w:t>
      </w:r>
      <w:proofErr w:type="spellStart"/>
      <w:r w:rsidR="00344545">
        <w:rPr>
          <w:rFonts w:eastAsiaTheme="minorHAnsi" w:cs="SPSTimes-Roman"/>
          <w:color w:val="000000"/>
          <w:szCs w:val="20"/>
          <w:lang w:val="en-US" w:eastAsia="en-US"/>
        </w:rPr>
        <w:t>analyse</w:t>
      </w:r>
      <w:proofErr w:type="spellEnd"/>
      <w:r w:rsidR="00344545">
        <w:rPr>
          <w:rFonts w:eastAsiaTheme="minorHAnsi" w:cs="SPSTimes-Roman"/>
          <w:color w:val="000000"/>
          <w:szCs w:val="20"/>
          <w:lang w:val="en-US" w:eastAsia="en-US"/>
        </w:rPr>
        <w:t xml:space="preserve"> the well-established proposition that the introduction and imposition of industry-wide ‘minimum quality standards’ (MQS) in an already differentiated and segmented market does not necessarily improve average quality (animal welfare) or social welfare (as measured, for instance, by willingness to pay). </w:t>
      </w:r>
      <w:r w:rsidR="00344545" w:rsidRPr="00344545">
        <w:rPr>
          <w:rFonts w:eastAsiaTheme="minorHAnsi" w:cs="SPSTimes-Roman"/>
          <w:color w:val="000000"/>
          <w:szCs w:val="20"/>
          <w:lang w:val="en-US" w:eastAsia="en-US"/>
        </w:rPr>
        <w:t>They show</w:t>
      </w:r>
      <w:r w:rsidR="00344545">
        <w:rPr>
          <w:rFonts w:eastAsiaTheme="minorHAnsi" w:cs="SPSTimes-Roman"/>
          <w:color w:val="000000"/>
          <w:szCs w:val="20"/>
          <w:lang w:val="en-US" w:eastAsia="en-US"/>
        </w:rPr>
        <w:t xml:space="preserve"> </w:t>
      </w:r>
      <w:r w:rsidR="00344545" w:rsidRPr="00344545">
        <w:rPr>
          <w:rFonts w:eastAsiaTheme="minorHAnsi" w:cs="SPSTimes-Roman"/>
          <w:color w:val="000000"/>
          <w:szCs w:val="20"/>
          <w:lang w:val="en-US" w:eastAsia="en-US"/>
        </w:rPr>
        <w:t xml:space="preserve">that </w:t>
      </w:r>
      <w:r w:rsidR="00344545">
        <w:rPr>
          <w:rFonts w:eastAsiaTheme="minorHAnsi" w:cs="SPSTimes-Roman"/>
          <w:color w:val="000000"/>
          <w:szCs w:val="20"/>
          <w:lang w:val="en-US" w:eastAsia="en-US"/>
        </w:rPr>
        <w:t>differentiation strategies</w:t>
      </w:r>
      <w:r w:rsidR="00344545" w:rsidRPr="00344545">
        <w:rPr>
          <w:rFonts w:eastAsiaTheme="minorHAnsi" w:cs="SPSTimes-Roman"/>
          <w:color w:val="000000"/>
          <w:szCs w:val="20"/>
          <w:lang w:val="en-US" w:eastAsia="en-US"/>
        </w:rPr>
        <w:t xml:space="preserve"> depend on the qualitative level of the MQS, </w:t>
      </w:r>
      <w:r w:rsidR="00344545">
        <w:rPr>
          <w:rFonts w:eastAsiaTheme="minorHAnsi" w:cs="SPSTimes-Roman"/>
          <w:color w:val="000000"/>
          <w:szCs w:val="20"/>
          <w:lang w:val="en-US" w:eastAsia="en-US"/>
        </w:rPr>
        <w:t>and also on</w:t>
      </w:r>
      <w:r w:rsidR="00344545" w:rsidRPr="00344545">
        <w:rPr>
          <w:rFonts w:eastAsiaTheme="minorHAnsi" w:cs="SPSTimes-Roman"/>
          <w:color w:val="000000"/>
          <w:szCs w:val="20"/>
          <w:lang w:val="en-US" w:eastAsia="en-US"/>
        </w:rPr>
        <w:t xml:space="preserve"> the</w:t>
      </w:r>
      <w:r w:rsidR="00344545">
        <w:rPr>
          <w:rFonts w:eastAsiaTheme="minorHAnsi" w:cs="SPSTimes-Roman"/>
          <w:color w:val="000000"/>
          <w:szCs w:val="20"/>
          <w:lang w:val="en-US" w:eastAsia="en-US"/>
        </w:rPr>
        <w:t xml:space="preserve"> additional</w:t>
      </w:r>
      <w:r w:rsidR="00344545" w:rsidRPr="00344545">
        <w:rPr>
          <w:rFonts w:eastAsiaTheme="minorHAnsi" w:cs="SPSTimes-Roman"/>
          <w:color w:val="000000"/>
          <w:szCs w:val="20"/>
          <w:lang w:val="en-US" w:eastAsia="en-US"/>
        </w:rPr>
        <w:t xml:space="preserve"> costs associated with the required production processes and monitoring, </w:t>
      </w:r>
      <w:r w:rsidR="00344545">
        <w:rPr>
          <w:rFonts w:eastAsiaTheme="minorHAnsi" w:cs="SPSTimes-Roman"/>
          <w:color w:val="000000"/>
          <w:szCs w:val="20"/>
          <w:lang w:val="en-US" w:eastAsia="en-US"/>
        </w:rPr>
        <w:t>on</w:t>
      </w:r>
      <w:r w:rsidR="00344545" w:rsidRPr="00344545">
        <w:rPr>
          <w:rFonts w:eastAsiaTheme="minorHAnsi" w:cs="SPSTimes-Roman"/>
          <w:color w:val="000000"/>
          <w:szCs w:val="20"/>
          <w:lang w:val="en-US" w:eastAsia="en-US"/>
        </w:rPr>
        <w:t xml:space="preserve"> the</w:t>
      </w:r>
      <w:r w:rsidR="00344545">
        <w:rPr>
          <w:rFonts w:eastAsiaTheme="minorHAnsi" w:cs="SPSTimes-Roman"/>
          <w:color w:val="000000"/>
          <w:szCs w:val="20"/>
          <w:lang w:val="en-US" w:eastAsia="en-US"/>
        </w:rPr>
        <w:t xml:space="preserve"> </w:t>
      </w:r>
      <w:r w:rsidR="00344545" w:rsidRPr="00344545">
        <w:rPr>
          <w:rFonts w:eastAsiaTheme="minorHAnsi" w:cs="SPSTimes-Roman"/>
          <w:color w:val="000000"/>
          <w:szCs w:val="20"/>
          <w:lang w:val="en-US" w:eastAsia="en-US"/>
        </w:rPr>
        <w:t xml:space="preserve">price </w:t>
      </w:r>
      <w:proofErr w:type="spellStart"/>
      <w:r w:rsidR="00344545" w:rsidRPr="00344545">
        <w:rPr>
          <w:rFonts w:eastAsiaTheme="minorHAnsi" w:cs="SPSTimes-Roman"/>
          <w:color w:val="000000"/>
          <w:szCs w:val="20"/>
          <w:lang w:val="en-US" w:eastAsia="en-US"/>
        </w:rPr>
        <w:t>premia</w:t>
      </w:r>
      <w:proofErr w:type="spellEnd"/>
      <w:r w:rsidR="00344545" w:rsidRPr="00344545">
        <w:rPr>
          <w:rFonts w:eastAsiaTheme="minorHAnsi" w:cs="SPSTimes-Roman"/>
          <w:color w:val="000000"/>
          <w:szCs w:val="20"/>
          <w:lang w:val="en-US" w:eastAsia="en-US"/>
        </w:rPr>
        <w:t xml:space="preserve"> paid by the consumers, </w:t>
      </w:r>
      <w:r w:rsidR="00344545">
        <w:rPr>
          <w:rFonts w:eastAsiaTheme="minorHAnsi" w:cs="SPSTimes-Roman"/>
          <w:color w:val="000000"/>
          <w:szCs w:val="20"/>
          <w:lang w:val="en-US" w:eastAsia="en-US"/>
        </w:rPr>
        <w:t>on the</w:t>
      </w:r>
      <w:r w:rsidR="00344545" w:rsidRPr="00344545">
        <w:rPr>
          <w:rFonts w:eastAsiaTheme="minorHAnsi" w:cs="SPSTimes-Roman"/>
          <w:color w:val="000000"/>
          <w:szCs w:val="20"/>
          <w:lang w:val="en-US" w:eastAsia="en-US"/>
        </w:rPr>
        <w:t xml:space="preserve"> marketing alternatives of the suppliers and</w:t>
      </w:r>
      <w:r w:rsidR="00344545">
        <w:rPr>
          <w:rFonts w:eastAsiaTheme="minorHAnsi" w:cs="SPSTimes-Roman"/>
          <w:color w:val="000000"/>
          <w:szCs w:val="20"/>
          <w:lang w:val="en-US" w:eastAsia="en-US"/>
        </w:rPr>
        <w:t xml:space="preserve"> </w:t>
      </w:r>
      <w:r w:rsidR="00344545" w:rsidRPr="00344545">
        <w:rPr>
          <w:rFonts w:eastAsiaTheme="minorHAnsi" w:cs="SPSTimes-Roman"/>
          <w:color w:val="000000"/>
          <w:szCs w:val="20"/>
          <w:lang w:val="en-US" w:eastAsia="en-US"/>
        </w:rPr>
        <w:t xml:space="preserve">retailers, </w:t>
      </w:r>
      <w:r w:rsidR="00344545">
        <w:rPr>
          <w:rFonts w:eastAsiaTheme="minorHAnsi" w:cs="SPSTimes-Roman"/>
          <w:color w:val="000000"/>
          <w:szCs w:val="20"/>
          <w:lang w:val="en-US" w:eastAsia="en-US"/>
        </w:rPr>
        <w:t>and on</w:t>
      </w:r>
      <w:r w:rsidR="00344545" w:rsidRPr="00344545">
        <w:rPr>
          <w:rFonts w:eastAsiaTheme="minorHAnsi" w:cs="SPSTimes-Roman"/>
          <w:color w:val="000000"/>
          <w:szCs w:val="20"/>
          <w:lang w:val="en-US" w:eastAsia="en-US"/>
        </w:rPr>
        <w:t xml:space="preserve"> the contracting mechanisms to </w:t>
      </w:r>
      <w:r w:rsidR="00344545">
        <w:rPr>
          <w:rFonts w:eastAsiaTheme="minorHAnsi" w:cs="SPSTimes-Roman"/>
          <w:color w:val="000000"/>
          <w:szCs w:val="20"/>
          <w:lang w:val="en-US" w:eastAsia="en-US"/>
        </w:rPr>
        <w:t>fix</w:t>
      </w:r>
      <w:r w:rsidR="00344545" w:rsidRPr="00344545">
        <w:rPr>
          <w:rFonts w:eastAsiaTheme="minorHAnsi" w:cs="SPSTimes-Roman"/>
          <w:color w:val="000000"/>
          <w:szCs w:val="20"/>
          <w:lang w:val="en-US" w:eastAsia="en-US"/>
        </w:rPr>
        <w:t xml:space="preserve"> price</w:t>
      </w:r>
      <w:r w:rsidR="00344545">
        <w:rPr>
          <w:rFonts w:eastAsiaTheme="minorHAnsi" w:cs="SPSTimes-Roman"/>
          <w:color w:val="000000"/>
          <w:szCs w:val="20"/>
          <w:lang w:val="en-US" w:eastAsia="en-US"/>
        </w:rPr>
        <w:t>s and quantities</w:t>
      </w:r>
      <w:r w:rsidR="00344545" w:rsidRPr="00344545">
        <w:rPr>
          <w:rFonts w:eastAsiaTheme="minorHAnsi" w:cs="SPSTimes-Roman"/>
          <w:color w:val="000000"/>
          <w:szCs w:val="20"/>
          <w:lang w:val="en-US" w:eastAsia="en-US"/>
        </w:rPr>
        <w:t>.</w:t>
      </w:r>
      <w:r w:rsidR="00481FF2">
        <w:rPr>
          <w:rFonts w:eastAsiaTheme="minorHAnsi" w:cs="SPSTimes-Roman"/>
          <w:color w:val="000000"/>
          <w:szCs w:val="20"/>
          <w:lang w:val="en-US" w:eastAsia="en-US"/>
        </w:rPr>
        <w:t xml:space="preserve"> In particular, successively higher imposed MQS can ‘crowd out’ private (voluntary) premium initiatives, not only directly but also indirectly as firms adapt their competitive strategies.</w:t>
      </w:r>
    </w:p>
    <w:p w:rsidR="006A2861" w:rsidRDefault="00E73CC3" w:rsidP="00E73CC3">
      <w:pPr>
        <w:widowControl w:val="0"/>
        <w:autoSpaceDE w:val="0"/>
        <w:autoSpaceDN w:val="0"/>
        <w:adjustRightInd w:val="0"/>
        <w:spacing w:after="200"/>
        <w:rPr>
          <w:rFonts w:eastAsiaTheme="minorHAnsi" w:cs="SPSTimes-Roman"/>
          <w:szCs w:val="20"/>
          <w:lang w:val="en-US" w:eastAsia="en-US"/>
        </w:rPr>
      </w:pPr>
      <w:r>
        <w:rPr>
          <w:rFonts w:eastAsiaTheme="minorHAnsi" w:cs="SPSTimes-Roman"/>
          <w:szCs w:val="20"/>
          <w:lang w:val="en-US" w:eastAsia="en-US"/>
        </w:rPr>
        <w:t>As they point out: “</w:t>
      </w:r>
      <w:r w:rsidR="00566EF2" w:rsidRPr="00E73CC3">
        <w:rPr>
          <w:rFonts w:eastAsiaTheme="minorHAnsi" w:cs="SPSTimes-Roman"/>
          <w:i/>
          <w:szCs w:val="20"/>
          <w:lang w:val="en-US" w:eastAsia="en-US"/>
        </w:rPr>
        <w:t>Starting in the mid 1990s, European retailers, faced by food safety crises, began to</w:t>
      </w:r>
      <w:r w:rsidRPr="00E73CC3">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intervene in dramatic ways in producers’ practices by imposing standards for grower</w:t>
      </w:r>
      <w:r w:rsidRPr="00E73CC3">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practices far more demanding than the public MQS. The retailers also developed new</w:t>
      </w:r>
      <w:r>
        <w:rPr>
          <w:rFonts w:eastAsiaTheme="minorHAnsi" w:cs="SPSTimes-Roman"/>
          <w:i/>
          <w:color w:val="000000"/>
          <w:szCs w:val="20"/>
          <w:lang w:val="en-US" w:eastAsia="en-US"/>
        </w:rPr>
        <w:t xml:space="preserve"> </w:t>
      </w:r>
      <w:r>
        <w:rPr>
          <w:rFonts w:eastAsiaTheme="minorHAnsi" w:cs="SPSTimes-Roman"/>
          <w:i/>
          <w:szCs w:val="20"/>
          <w:lang w:val="en-US" w:eastAsia="en-US"/>
        </w:rPr>
        <w:t>methods of signaling these eff</w:t>
      </w:r>
      <w:r w:rsidR="00566EF2" w:rsidRPr="00E73CC3">
        <w:rPr>
          <w:rFonts w:eastAsiaTheme="minorHAnsi" w:cs="SPSTimes-Roman"/>
          <w:i/>
          <w:szCs w:val="20"/>
          <w:lang w:val="en-US" w:eastAsia="en-US"/>
        </w:rPr>
        <w:t>orts to consumers. The creation of retailer private labels</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in the beef and pro</w:t>
      </w:r>
      <w:r>
        <w:rPr>
          <w:rFonts w:eastAsiaTheme="minorHAnsi" w:cs="SPSTimes-Roman"/>
          <w:i/>
          <w:szCs w:val="20"/>
          <w:lang w:val="en-US" w:eastAsia="en-US"/>
        </w:rPr>
        <w:t>duce sector were part of this eff</w:t>
      </w:r>
      <w:r w:rsidR="00566EF2" w:rsidRPr="00E73CC3">
        <w:rPr>
          <w:rFonts w:eastAsiaTheme="minorHAnsi" w:cs="SPSTimes-Roman"/>
          <w:i/>
          <w:szCs w:val="20"/>
          <w:lang w:val="en-US" w:eastAsia="en-US"/>
        </w:rPr>
        <w:t>ort. In the case of beef in the UK,</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for example, the leading retailers undertook a number of private labels involving</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strict process standards for producers – for example the “Traditional Beef” label of</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Sainsbury or the “Select Beef” label developed by Marks and Spencer. In France, a</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number of agreements between retailers and producers were developed in order to</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market products with strong quality and safety guarantees to consumers.</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Competition among retailers in the context of food safety crises led retailers to</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abandon, at least partially, their traditional sourcing system for generic products</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(“commodities”) from the spot market or from traditional intermediaries/processors.</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For example, Carrefour began in the mid 1990s to shift toward supply agreements</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direct with producers, in order to segment their supply chains and develop quality</w:t>
      </w:r>
      <w:r>
        <w:rPr>
          <w:rFonts w:eastAsiaTheme="minorHAnsi" w:cs="SPSTimes-Roman"/>
          <w:i/>
          <w:color w:val="000000"/>
          <w:szCs w:val="20"/>
          <w:lang w:val="en-US" w:eastAsia="en-US"/>
        </w:rPr>
        <w:t xml:space="preserve"> </w:t>
      </w:r>
      <w:r>
        <w:rPr>
          <w:rFonts w:eastAsiaTheme="minorHAnsi" w:cs="SPSTimes-Roman"/>
          <w:i/>
          <w:szCs w:val="20"/>
          <w:lang w:val="en-US" w:eastAsia="en-US"/>
        </w:rPr>
        <w:t>and safety diff</w:t>
      </w:r>
      <w:r w:rsidR="00566EF2" w:rsidRPr="00E73CC3">
        <w:rPr>
          <w:rFonts w:eastAsiaTheme="minorHAnsi" w:cs="SPSTimes-Roman"/>
          <w:i/>
          <w:szCs w:val="20"/>
          <w:lang w:val="en-US" w:eastAsia="en-US"/>
        </w:rPr>
        <w:t>erentiation strategies. This gave rise to a P</w:t>
      </w:r>
      <w:r w:rsidR="007805A8">
        <w:rPr>
          <w:rFonts w:eastAsiaTheme="minorHAnsi" w:cs="SPSTimes-Roman"/>
          <w:i/>
          <w:szCs w:val="20"/>
          <w:lang w:val="en-US" w:eastAsia="en-US"/>
        </w:rPr>
        <w:t xml:space="preserve">remium </w:t>
      </w:r>
      <w:r w:rsidR="00566EF2" w:rsidRPr="00E73CC3">
        <w:rPr>
          <w:rFonts w:eastAsiaTheme="minorHAnsi" w:cs="SPSTimes-Roman"/>
          <w:i/>
          <w:szCs w:val="20"/>
          <w:lang w:val="en-US" w:eastAsia="en-US"/>
        </w:rPr>
        <w:t>P</w:t>
      </w:r>
      <w:r w:rsidR="007805A8">
        <w:rPr>
          <w:rFonts w:eastAsiaTheme="minorHAnsi" w:cs="SPSTimes-Roman"/>
          <w:i/>
          <w:szCs w:val="20"/>
          <w:lang w:val="en-US" w:eastAsia="en-US"/>
        </w:rPr>
        <w:t xml:space="preserve">rivate </w:t>
      </w:r>
      <w:r w:rsidR="00566EF2" w:rsidRPr="00E73CC3">
        <w:rPr>
          <w:rFonts w:eastAsiaTheme="minorHAnsi" w:cs="SPSTimes-Roman"/>
          <w:i/>
          <w:szCs w:val="20"/>
          <w:lang w:val="en-US" w:eastAsia="en-US"/>
        </w:rPr>
        <w:t>L</w:t>
      </w:r>
      <w:r w:rsidR="007805A8">
        <w:rPr>
          <w:rFonts w:eastAsiaTheme="minorHAnsi" w:cs="SPSTimes-Roman"/>
          <w:i/>
          <w:szCs w:val="20"/>
          <w:lang w:val="en-US" w:eastAsia="en-US"/>
        </w:rPr>
        <w:t>abel</w:t>
      </w:r>
      <w:r w:rsidR="00566EF2" w:rsidRPr="00E73CC3">
        <w:rPr>
          <w:rFonts w:eastAsiaTheme="minorHAnsi" w:cs="SPSTimes-Roman"/>
          <w:i/>
          <w:szCs w:val="20"/>
          <w:lang w:val="en-US" w:eastAsia="en-US"/>
        </w:rPr>
        <w:t xml:space="preserve"> called “</w:t>
      </w:r>
      <w:proofErr w:type="spellStart"/>
      <w:r w:rsidR="00566EF2" w:rsidRPr="00E73CC3">
        <w:rPr>
          <w:rFonts w:eastAsiaTheme="minorHAnsi" w:cs="SPSTimes-Roman"/>
          <w:i/>
          <w:szCs w:val="20"/>
          <w:lang w:val="en-US" w:eastAsia="en-US"/>
        </w:rPr>
        <w:t>Filière</w:t>
      </w:r>
      <w:proofErr w:type="spellEnd"/>
      <w:r w:rsidR="00566EF2" w:rsidRPr="00E73CC3">
        <w:rPr>
          <w:rFonts w:eastAsiaTheme="minorHAnsi" w:cs="SPSTimes-Roman"/>
          <w:i/>
          <w:szCs w:val="20"/>
          <w:lang w:val="en-US" w:eastAsia="en-US"/>
        </w:rPr>
        <w:t xml:space="preserve"> </w:t>
      </w:r>
      <w:proofErr w:type="spellStart"/>
      <w:r w:rsidR="00566EF2" w:rsidRPr="00E73CC3">
        <w:rPr>
          <w:rFonts w:eastAsiaTheme="minorHAnsi" w:cs="SPSTimes-Roman"/>
          <w:i/>
          <w:szCs w:val="20"/>
          <w:lang w:val="en-US" w:eastAsia="en-US"/>
        </w:rPr>
        <w:t>Qualité</w:t>
      </w:r>
      <w:proofErr w:type="spellEnd"/>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Carrefour” (Carrefour Quality Product (Chain)). By the start of 2003, Carrefour already had in place 250 “supplier partnership” agreements with more than 35,000</w:t>
      </w:r>
      <w:r>
        <w:rPr>
          <w:rFonts w:eastAsiaTheme="minorHAnsi" w:cs="SPSTimes-Roman"/>
          <w:i/>
          <w:color w:val="000000"/>
          <w:szCs w:val="20"/>
          <w:lang w:val="en-US" w:eastAsia="en-US"/>
        </w:rPr>
        <w:t xml:space="preserve"> </w:t>
      </w:r>
      <w:r w:rsidR="00566EF2" w:rsidRPr="00E73CC3">
        <w:rPr>
          <w:rFonts w:eastAsiaTheme="minorHAnsi" w:cs="SPSTimes-Roman"/>
          <w:i/>
          <w:szCs w:val="20"/>
          <w:lang w:val="en-US" w:eastAsia="en-US"/>
        </w:rPr>
        <w:t>producers</w:t>
      </w:r>
      <w:r>
        <w:rPr>
          <w:rFonts w:eastAsiaTheme="minorHAnsi" w:cs="SPSTimes-Roman"/>
          <w:i/>
          <w:szCs w:val="20"/>
          <w:lang w:val="en-US" w:eastAsia="en-US"/>
        </w:rPr>
        <w:t>.”</w:t>
      </w:r>
      <w:r w:rsidR="00566EF2" w:rsidRPr="00E73CC3">
        <w:rPr>
          <w:rFonts w:eastAsiaTheme="minorHAnsi" w:cs="SPSTimes-Roman"/>
          <w:szCs w:val="20"/>
          <w:lang w:val="en-US" w:eastAsia="en-US"/>
        </w:rPr>
        <w:t xml:space="preserve"> (</w:t>
      </w:r>
      <w:proofErr w:type="gramStart"/>
      <w:r>
        <w:rPr>
          <w:rFonts w:eastAsiaTheme="minorHAnsi" w:cs="SPSTimes-Roman"/>
          <w:szCs w:val="20"/>
          <w:lang w:val="en-US" w:eastAsia="en-US"/>
        </w:rPr>
        <w:t>p</w:t>
      </w:r>
      <w:proofErr w:type="gramEnd"/>
      <w:r>
        <w:rPr>
          <w:rFonts w:eastAsiaTheme="minorHAnsi" w:cs="SPSTimes-Roman"/>
          <w:szCs w:val="20"/>
          <w:lang w:val="en-US" w:eastAsia="en-US"/>
        </w:rPr>
        <w:t xml:space="preserve"> </w:t>
      </w:r>
      <w:r w:rsidR="00566EF2" w:rsidRPr="00E73CC3">
        <w:rPr>
          <w:rFonts w:eastAsiaTheme="minorHAnsi" w:cs="SPSTimes-Roman"/>
          <w:szCs w:val="20"/>
          <w:lang w:val="en-US" w:eastAsia="en-US"/>
        </w:rPr>
        <w:t>274/5)</w:t>
      </w:r>
      <w:r>
        <w:rPr>
          <w:rFonts w:eastAsiaTheme="minorHAnsi" w:cs="SPSTimes-Roman"/>
          <w:szCs w:val="20"/>
          <w:lang w:val="en-US" w:eastAsia="en-US"/>
        </w:rPr>
        <w:t xml:space="preserve">. These private agreements on sets of process standards </w:t>
      </w:r>
      <w:r w:rsidR="00FC3D64">
        <w:rPr>
          <w:rFonts w:eastAsiaTheme="minorHAnsi" w:cs="SPSTimes-Roman"/>
          <w:szCs w:val="20"/>
          <w:lang w:val="en-US" w:eastAsia="en-US"/>
        </w:rPr>
        <w:t>can be</w:t>
      </w:r>
      <w:r>
        <w:rPr>
          <w:rFonts w:eastAsiaTheme="minorHAnsi" w:cs="SPSTimes-Roman"/>
          <w:szCs w:val="20"/>
          <w:lang w:val="en-US" w:eastAsia="en-US"/>
        </w:rPr>
        <w:t xml:space="preserve"> more demanding than the public MQS, and are subject to regular monitoring by third-party certifiers</w:t>
      </w:r>
      <w:r w:rsidR="00FC3D64">
        <w:rPr>
          <w:rFonts w:eastAsiaTheme="minorHAnsi" w:cs="SPSTimes-Roman"/>
          <w:szCs w:val="20"/>
          <w:lang w:val="en-US" w:eastAsia="en-US"/>
        </w:rPr>
        <w:t>. An important part of the marketing strategy is</w:t>
      </w:r>
      <w:r>
        <w:rPr>
          <w:rFonts w:eastAsiaTheme="minorHAnsi" w:cs="SPSTimes-Roman"/>
          <w:szCs w:val="20"/>
          <w:lang w:val="en-US" w:eastAsia="en-US"/>
        </w:rPr>
        <w:t xml:space="preserve"> making it clear and (reasonably transparent) to consumers that the products are of higher quality than required by the public standard.</w:t>
      </w:r>
    </w:p>
    <w:p w:rsidR="00EF5638" w:rsidRDefault="006A2861" w:rsidP="001F3718">
      <w:pPr>
        <w:widowControl w:val="0"/>
        <w:autoSpaceDE w:val="0"/>
        <w:autoSpaceDN w:val="0"/>
        <w:adjustRightInd w:val="0"/>
        <w:spacing w:after="200"/>
        <w:rPr>
          <w:rFonts w:eastAsiaTheme="minorHAnsi" w:cs="SPSTimes-Roman"/>
          <w:szCs w:val="20"/>
          <w:lang w:val="en-US" w:eastAsia="en-US"/>
        </w:rPr>
      </w:pPr>
      <w:r>
        <w:rPr>
          <w:rFonts w:eastAsiaTheme="minorHAnsi" w:cs="SPSTimes-Roman"/>
          <w:szCs w:val="20"/>
          <w:lang w:val="en-US" w:eastAsia="en-US"/>
        </w:rPr>
        <w:t xml:space="preserve">Condon </w:t>
      </w:r>
      <w:r>
        <w:rPr>
          <w:rFonts w:eastAsiaTheme="minorHAnsi" w:cs="SPSTimes-Roman"/>
          <w:i/>
          <w:szCs w:val="20"/>
          <w:lang w:val="en-US" w:eastAsia="en-US"/>
        </w:rPr>
        <w:t>et al</w:t>
      </w:r>
      <w:r>
        <w:rPr>
          <w:rFonts w:eastAsiaTheme="minorHAnsi" w:cs="SPSTimes-Roman"/>
          <w:szCs w:val="20"/>
          <w:lang w:val="en-US" w:eastAsia="en-US"/>
        </w:rPr>
        <w:t>. (</w:t>
      </w:r>
      <w:r>
        <w:rPr>
          <w:rFonts w:eastAsiaTheme="minorHAnsi" w:cs="SPSTimes-Roman"/>
          <w:i/>
          <w:szCs w:val="20"/>
          <w:lang w:val="en-US" w:eastAsia="en-US"/>
        </w:rPr>
        <w:t>ibid</w:t>
      </w:r>
      <w:r>
        <w:rPr>
          <w:rFonts w:eastAsiaTheme="minorHAnsi" w:cs="SPSTimes-Roman"/>
          <w:szCs w:val="20"/>
          <w:lang w:val="en-US" w:eastAsia="en-US"/>
        </w:rPr>
        <w:t xml:space="preserve">) also neatly </w:t>
      </w:r>
      <w:proofErr w:type="spellStart"/>
      <w:r>
        <w:rPr>
          <w:rFonts w:eastAsiaTheme="minorHAnsi" w:cs="SPSTimes-Roman"/>
          <w:szCs w:val="20"/>
          <w:lang w:val="en-US" w:eastAsia="en-US"/>
        </w:rPr>
        <w:t>summarise</w:t>
      </w:r>
      <w:proofErr w:type="spellEnd"/>
      <w:r>
        <w:rPr>
          <w:rFonts w:eastAsiaTheme="minorHAnsi" w:cs="SPSTimes-Roman"/>
          <w:szCs w:val="20"/>
          <w:lang w:val="en-US" w:eastAsia="en-US"/>
        </w:rPr>
        <w:t xml:space="preserve"> the conflicting incentives facing retailers for the appropriate level of the public MQS.</w:t>
      </w:r>
      <w:r w:rsidR="00E73CC3">
        <w:rPr>
          <w:rFonts w:eastAsiaTheme="minorHAnsi" w:cs="SPSTimes-Roman"/>
          <w:szCs w:val="20"/>
          <w:lang w:val="en-US" w:eastAsia="en-US"/>
        </w:rPr>
        <w:t xml:space="preserve"> </w:t>
      </w:r>
      <w:r>
        <w:rPr>
          <w:rFonts w:eastAsiaTheme="minorHAnsi" w:cs="SPSTimes-Roman"/>
          <w:szCs w:val="20"/>
          <w:lang w:val="en-US" w:eastAsia="en-US"/>
        </w:rPr>
        <w:t xml:space="preserve">On the one hand, retailers would like the standard to be set as high as possible, to avoid their own costs associated with differentiating their own products and segmenting their own markets – in effect, passing responsibility for the quality and safety of their products to the public sector (and the suppliers). On the other hand, the confidence, trust and loyalty of consumers is of vital importance, and they cannot afford to either betray this confidence to a public sector which may not be up to the job, or relinquish market share to competitors who may well be able to obtain lower quality products with less provenance from other (overseas) sources.  </w:t>
      </w:r>
      <w:r w:rsidRPr="00FC3D64">
        <w:rPr>
          <w:rFonts w:eastAsiaTheme="minorHAnsi" w:cs="SPSTimes-Roman"/>
          <w:i/>
          <w:szCs w:val="20"/>
          <w:lang w:val="en-US" w:eastAsia="en-US"/>
        </w:rPr>
        <w:t>In particular, they show that overall social welfare (the sum of the interests of producers, consumers and taxpayers) is higher under a combination of mandatory public MQS at a relatively basic level coupled with differentiation and segmentation of private labels and standards</w:t>
      </w:r>
      <w:r w:rsidR="003D055A">
        <w:rPr>
          <w:rFonts w:eastAsiaTheme="minorHAnsi" w:cs="SPSTimes-Roman"/>
          <w:szCs w:val="20"/>
          <w:lang w:val="en-US" w:eastAsia="en-US"/>
        </w:rPr>
        <w:t xml:space="preserve"> (which echoes the analysis above)</w:t>
      </w:r>
      <w:r w:rsidRPr="00FC3D64">
        <w:rPr>
          <w:rFonts w:eastAsiaTheme="minorHAnsi" w:cs="SPSTimes-Roman"/>
          <w:i/>
          <w:szCs w:val="20"/>
          <w:lang w:val="en-US" w:eastAsia="en-US"/>
        </w:rPr>
        <w:t>.</w:t>
      </w:r>
      <w:r w:rsidR="001F3718">
        <w:rPr>
          <w:rFonts w:eastAsiaTheme="minorHAnsi" w:cs="SPSTimes-Roman"/>
          <w:szCs w:val="20"/>
          <w:lang w:val="en-US" w:eastAsia="en-US"/>
        </w:rPr>
        <w:t xml:space="preserve"> Social welfare is reduced if the public MQS is set too high, particularly since the incentives to cheat and avoid the standards (and consequent diminishing trust by consumers in the imposition and meaning of the standard) are greater the higher the level of the MQS.</w:t>
      </w:r>
    </w:p>
    <w:p w:rsidR="005D71EC" w:rsidRDefault="00EF5638" w:rsidP="00A028EF">
      <w:pPr>
        <w:widowControl w:val="0"/>
        <w:autoSpaceDE w:val="0"/>
        <w:autoSpaceDN w:val="0"/>
        <w:adjustRightInd w:val="0"/>
        <w:spacing w:after="200"/>
        <w:rPr>
          <w:szCs w:val="20"/>
        </w:rPr>
      </w:pPr>
      <w:r>
        <w:rPr>
          <w:rFonts w:eastAsiaTheme="minorHAnsi" w:cs="SPSTimes-Roman"/>
          <w:szCs w:val="20"/>
          <w:lang w:val="en-US" w:eastAsia="en-US"/>
        </w:rPr>
        <w:t xml:space="preserve">While supply chain barriers are frequently asserted to mitigate the development of socially responsible supply chains, perhaps especially for improved animal welfare, two major factors should not be forgotten. First, supply chains are continually evolving and adapting to changing conditions – especially the willingness of consumers to </w:t>
      </w:r>
      <w:proofErr w:type="spellStart"/>
      <w:r>
        <w:rPr>
          <w:rFonts w:eastAsiaTheme="minorHAnsi" w:cs="SPSTimes-Roman"/>
          <w:szCs w:val="20"/>
          <w:lang w:val="en-US" w:eastAsia="en-US"/>
        </w:rPr>
        <w:t>recognise</w:t>
      </w:r>
      <w:proofErr w:type="spellEnd"/>
      <w:r>
        <w:rPr>
          <w:rFonts w:eastAsiaTheme="minorHAnsi" w:cs="SPSTimes-Roman"/>
          <w:szCs w:val="20"/>
          <w:lang w:val="en-US" w:eastAsia="en-US"/>
        </w:rPr>
        <w:t xml:space="preserve"> and pay for quality and differentiation of food products, including improved animal welfare. The progress made in the past is testament to this continual change – </w:t>
      </w:r>
      <w:r w:rsidR="00897119">
        <w:rPr>
          <w:rFonts w:eastAsiaTheme="minorHAnsi" w:cs="SPSTimes-Roman"/>
          <w:szCs w:val="20"/>
          <w:lang w:val="en-US" w:eastAsia="en-US"/>
        </w:rPr>
        <w:t xml:space="preserve">relatively </w:t>
      </w:r>
      <w:r>
        <w:rPr>
          <w:rFonts w:eastAsiaTheme="minorHAnsi" w:cs="SPSTimes-Roman"/>
          <w:szCs w:val="20"/>
          <w:lang w:val="en-US" w:eastAsia="en-US"/>
        </w:rPr>
        <w:t>few people appear to believe that</w:t>
      </w:r>
      <w:r w:rsidR="00897119">
        <w:rPr>
          <w:rFonts w:eastAsiaTheme="minorHAnsi" w:cs="SPSTimes-Roman"/>
          <w:szCs w:val="20"/>
          <w:lang w:val="en-US" w:eastAsia="en-US"/>
        </w:rPr>
        <w:t xml:space="preserve"> animal welfare conditions are deteriorating while the majority thinks that conditions have improved</w:t>
      </w:r>
      <w:r w:rsidR="005D06BB">
        <w:rPr>
          <w:rFonts w:eastAsiaTheme="minorHAnsi" w:cs="SPSTimes-Roman"/>
          <w:szCs w:val="20"/>
          <w:lang w:val="en-US" w:eastAsia="en-US"/>
        </w:rPr>
        <w:t xml:space="preserve"> (</w:t>
      </w:r>
      <w:proofErr w:type="spellStart"/>
      <w:r w:rsidR="005D06BB">
        <w:rPr>
          <w:rFonts w:eastAsiaTheme="minorHAnsi" w:cs="SPSTimes-Roman"/>
          <w:szCs w:val="20"/>
          <w:lang w:val="en-US" w:eastAsia="en-US"/>
        </w:rPr>
        <w:t>Eurobarometer</w:t>
      </w:r>
      <w:proofErr w:type="spellEnd"/>
      <w:r w:rsidR="005D06BB">
        <w:rPr>
          <w:rFonts w:eastAsiaTheme="minorHAnsi" w:cs="SPSTimes-Roman"/>
          <w:szCs w:val="20"/>
          <w:lang w:val="en-US" w:eastAsia="en-US"/>
        </w:rPr>
        <w:t>, 2005, 2007)</w:t>
      </w:r>
      <w:r w:rsidR="00897119">
        <w:rPr>
          <w:rFonts w:eastAsiaTheme="minorHAnsi" w:cs="SPSTimes-Roman"/>
          <w:szCs w:val="20"/>
          <w:lang w:val="en-US" w:eastAsia="en-US"/>
        </w:rPr>
        <w:t>. Market trends confirm that more people are now</w:t>
      </w:r>
      <w:r w:rsidR="00FC3D64">
        <w:rPr>
          <w:rFonts w:eastAsiaTheme="minorHAnsi" w:cs="SPSTimes-Roman"/>
          <w:szCs w:val="20"/>
          <w:lang w:val="en-US" w:eastAsia="en-US"/>
        </w:rPr>
        <w:t xml:space="preserve"> more</w:t>
      </w:r>
      <w:r w:rsidR="00897119">
        <w:rPr>
          <w:rFonts w:eastAsiaTheme="minorHAnsi" w:cs="SPSTimes-Roman"/>
          <w:szCs w:val="20"/>
          <w:lang w:val="en-US" w:eastAsia="en-US"/>
        </w:rPr>
        <w:t xml:space="preserve"> willing to pay the necessary </w:t>
      </w:r>
      <w:proofErr w:type="spellStart"/>
      <w:r w:rsidR="00897119">
        <w:rPr>
          <w:rFonts w:eastAsiaTheme="minorHAnsi" w:cs="SPSTimes-Roman"/>
          <w:szCs w:val="20"/>
          <w:lang w:val="en-US" w:eastAsia="en-US"/>
        </w:rPr>
        <w:t>premia</w:t>
      </w:r>
      <w:proofErr w:type="spellEnd"/>
      <w:r w:rsidR="00897119">
        <w:rPr>
          <w:rFonts w:eastAsiaTheme="minorHAnsi" w:cs="SPSTimes-Roman"/>
          <w:szCs w:val="20"/>
          <w:lang w:val="en-US" w:eastAsia="en-US"/>
        </w:rPr>
        <w:t xml:space="preserve"> for improved (or at least differentiated) quality than in the past. Notwithstanding the present economic downturn, there is no substantial reason to suppose that these trends will not continue.  Second, even the most sophisticated and mature food supply chains remain capable of further improvement, and can be expected to strive to further improve their operations and co-ordination as competition for resources, inputs and market shares continue to tighten.</w:t>
      </w:r>
      <w:r w:rsidR="00CD5145">
        <w:rPr>
          <w:rFonts w:eastAsiaTheme="minorHAnsi" w:cs="SPSTimes-Roman"/>
          <w:szCs w:val="20"/>
          <w:lang w:val="en-US" w:eastAsia="en-US"/>
        </w:rPr>
        <w:t xml:space="preserve"> Researchers (e.g. Taylor and </w:t>
      </w:r>
      <w:proofErr w:type="spellStart"/>
      <w:r w:rsidR="00CD5145">
        <w:rPr>
          <w:rFonts w:eastAsiaTheme="minorHAnsi" w:cs="SPSTimes-Roman"/>
          <w:szCs w:val="20"/>
          <w:lang w:val="en-US" w:eastAsia="en-US"/>
        </w:rPr>
        <w:t>Fearne</w:t>
      </w:r>
      <w:proofErr w:type="spellEnd"/>
      <w:r w:rsidR="00CD5145">
        <w:rPr>
          <w:rFonts w:eastAsiaTheme="minorHAnsi" w:cs="SPSTimes-Roman"/>
          <w:szCs w:val="20"/>
          <w:lang w:val="en-US" w:eastAsia="en-US"/>
        </w:rPr>
        <w:t>, 2006) continue to develop approaches and frameworks through which supply chain relations, interactions and transactions can be improved to better reflect consumer and citizen demands and requirements to primary producers.</w:t>
      </w:r>
    </w:p>
    <w:p w:rsidR="00582C2D" w:rsidRDefault="00582C2D" w:rsidP="00582C2D">
      <w:pPr>
        <w:pStyle w:val="TOCHeading"/>
      </w:pPr>
      <w:proofErr w:type="gramStart"/>
      <w:r>
        <w:t>Chain Consequences of Improved Standards for Animal Welfare.</w:t>
      </w:r>
      <w:proofErr w:type="gramEnd"/>
    </w:p>
    <w:p w:rsidR="0072652C" w:rsidRDefault="00B11D51" w:rsidP="00D54023">
      <w:pPr>
        <w:spacing w:after="200"/>
        <w:rPr>
          <w:szCs w:val="17"/>
          <w:lang w:eastAsia="en-GB"/>
        </w:rPr>
      </w:pPr>
      <w:r>
        <w:rPr>
          <w:szCs w:val="17"/>
          <w:lang w:eastAsia="en-GB"/>
        </w:rPr>
        <w:t xml:space="preserve">One of </w:t>
      </w:r>
      <w:proofErr w:type="spellStart"/>
      <w:r w:rsidR="00D54023">
        <w:rPr>
          <w:szCs w:val="17"/>
          <w:lang w:eastAsia="en-GB"/>
        </w:rPr>
        <w:t>EconWelfare’s</w:t>
      </w:r>
      <w:proofErr w:type="spellEnd"/>
      <w:r>
        <w:rPr>
          <w:szCs w:val="17"/>
          <w:lang w:eastAsia="en-GB"/>
        </w:rPr>
        <w:t xml:space="preserve"> objectives </w:t>
      </w:r>
      <w:r w:rsidR="00D54023">
        <w:rPr>
          <w:szCs w:val="17"/>
          <w:lang w:eastAsia="en-GB"/>
        </w:rPr>
        <w:t xml:space="preserve">is </w:t>
      </w:r>
      <w:r>
        <w:rPr>
          <w:szCs w:val="17"/>
          <w:lang w:eastAsia="en-GB"/>
        </w:rPr>
        <w:t>to estimate the impact of upgraded animal welfare standards on the production chain in terms of costs and benefits, financial and otherwise. Because of the complexity of interrelationships between the characteristics and efficacy of specific on-farm and off-farm welfare standards, costs and benefits, farm structures, characteristics and efficiency of the chain, and welfare outcomes, it is impossible to present a simple and meaningful calculation</w:t>
      </w:r>
      <w:r w:rsidR="00D54023">
        <w:rPr>
          <w:szCs w:val="17"/>
          <w:lang w:eastAsia="en-GB"/>
        </w:rPr>
        <w:t xml:space="preserve"> or illustration</w:t>
      </w:r>
      <w:r>
        <w:rPr>
          <w:szCs w:val="17"/>
          <w:lang w:eastAsia="en-GB"/>
        </w:rPr>
        <w:t xml:space="preserve"> of</w:t>
      </w:r>
      <w:r w:rsidR="00D54023">
        <w:rPr>
          <w:szCs w:val="17"/>
          <w:lang w:eastAsia="en-GB"/>
        </w:rPr>
        <w:t xml:space="preserve"> the</w:t>
      </w:r>
      <w:r>
        <w:rPr>
          <w:szCs w:val="17"/>
          <w:lang w:eastAsia="en-GB"/>
        </w:rPr>
        <w:t xml:space="preserve"> impact of upgraded standards on the chain. In addition, and in contrast to the initial expectations of the project, there is no simple set of improved standards which emerge from this project for which to estimate potential costs and benefits – echoing the principle message that one size</w:t>
      </w:r>
      <w:r w:rsidR="008879D3">
        <w:rPr>
          <w:szCs w:val="17"/>
          <w:lang w:eastAsia="en-GB"/>
        </w:rPr>
        <w:t xml:space="preserve"> does not fit</w:t>
      </w:r>
      <w:r>
        <w:rPr>
          <w:szCs w:val="17"/>
          <w:lang w:eastAsia="en-GB"/>
        </w:rPr>
        <w:t xml:space="preserve"> all. For that reason, w</w:t>
      </w:r>
      <w:r w:rsidRPr="00133736">
        <w:rPr>
          <w:szCs w:val="17"/>
          <w:lang w:eastAsia="en-GB"/>
        </w:rPr>
        <w:t xml:space="preserve">e </w:t>
      </w:r>
      <w:r>
        <w:rPr>
          <w:szCs w:val="17"/>
          <w:lang w:eastAsia="en-GB"/>
        </w:rPr>
        <w:t xml:space="preserve">have tried to </w:t>
      </w:r>
      <w:r w:rsidRPr="00133736">
        <w:rPr>
          <w:szCs w:val="17"/>
          <w:lang w:eastAsia="en-GB"/>
        </w:rPr>
        <w:t xml:space="preserve">represent the consequences of imposing upgraded standards through the distribution chain by </w:t>
      </w:r>
      <w:r>
        <w:rPr>
          <w:szCs w:val="17"/>
          <w:lang w:eastAsia="en-GB"/>
        </w:rPr>
        <w:t>illustrating</w:t>
      </w:r>
      <w:r w:rsidRPr="00133736">
        <w:rPr>
          <w:szCs w:val="17"/>
          <w:lang w:eastAsia="en-GB"/>
        </w:rPr>
        <w:t xml:space="preserve"> a causal </w:t>
      </w:r>
      <w:r w:rsidR="00560FD1">
        <w:rPr>
          <w:szCs w:val="17"/>
          <w:lang w:eastAsia="en-GB"/>
        </w:rPr>
        <w:t xml:space="preserve">Chain </w:t>
      </w:r>
      <w:r>
        <w:rPr>
          <w:szCs w:val="17"/>
          <w:lang w:eastAsia="en-GB"/>
        </w:rPr>
        <w:t>Belief N</w:t>
      </w:r>
      <w:r w:rsidRPr="00133736">
        <w:rPr>
          <w:szCs w:val="17"/>
          <w:lang w:eastAsia="en-GB"/>
        </w:rPr>
        <w:t>etwork</w:t>
      </w:r>
      <w:r>
        <w:rPr>
          <w:szCs w:val="17"/>
          <w:lang w:eastAsia="en-GB"/>
        </w:rPr>
        <w:t xml:space="preserve"> of the potential consequences of upgrading standards</w:t>
      </w:r>
      <w:r w:rsidRPr="00133736">
        <w:rPr>
          <w:szCs w:val="17"/>
          <w:lang w:eastAsia="en-GB"/>
        </w:rPr>
        <w:t>.</w:t>
      </w:r>
    </w:p>
    <w:p w:rsidR="00560FD1" w:rsidRDefault="003D055A" w:rsidP="00560FD1">
      <w:pPr>
        <w:pStyle w:val="NormalWeb"/>
        <w:spacing w:beforeLines="0" w:afterLines="0"/>
        <w:jc w:val="both"/>
        <w:rPr>
          <w:rFonts w:ascii="Arial" w:hAnsi="Arial"/>
          <w:sz w:val="22"/>
        </w:rPr>
      </w:pPr>
      <w:r>
        <w:rPr>
          <w:rFonts w:ascii="Arial" w:hAnsi="Arial" w:cs="TimesNewRomanPSMT"/>
          <w:sz w:val="22"/>
          <w:szCs w:val="22"/>
        </w:rPr>
        <w:t>B</w:t>
      </w:r>
      <w:r w:rsidR="00560FD1" w:rsidRPr="006116D8">
        <w:rPr>
          <w:rFonts w:ascii="Arial" w:hAnsi="Arial" w:cs="TimesNewRomanPSMT"/>
          <w:sz w:val="22"/>
          <w:szCs w:val="22"/>
        </w:rPr>
        <w:t xml:space="preserve">elief networks are not dependent on knowing exact historical information or current evidence. Given that humans are excellent at vague linguistic representations of knowledge (for example, “it will probably rain tomorrow”), and less adept and providing specific estimates, the ability to be effective despite vagaries in the input information is particularly advantageous. This robustness in the face of imperfect knowledge is one of the many reasons why belief nets are increasingly used as an alternative to other formal representations or mathematical computational models. </w:t>
      </w:r>
      <w:r w:rsidR="00560FD1" w:rsidRPr="006116D8">
        <w:rPr>
          <w:rFonts w:ascii="Arial" w:hAnsi="Arial"/>
          <w:sz w:val="22"/>
        </w:rPr>
        <w:t xml:space="preserve">They may be learned automatically from data files, created by an expert, or developed by a combination of the two. They capture knowledge in a modular form that can be transported from one situation to another; in a form people can understand, and which allows a clear visualization of the relationships involved. By distinguishing between </w:t>
      </w:r>
      <w:r w:rsidR="00560FD1" w:rsidRPr="006116D8">
        <w:rPr>
          <w:rFonts w:ascii="Arial" w:hAnsi="Arial"/>
          <w:i/>
          <w:sz w:val="22"/>
        </w:rPr>
        <w:t>decision</w:t>
      </w:r>
      <w:r w:rsidR="00560FD1" w:rsidRPr="006116D8">
        <w:rPr>
          <w:rFonts w:ascii="Arial" w:hAnsi="Arial"/>
          <w:sz w:val="22"/>
        </w:rPr>
        <w:t xml:space="preserve"> variables (things that can be controlled), and </w:t>
      </w:r>
      <w:r w:rsidR="00560FD1" w:rsidRPr="006116D8">
        <w:rPr>
          <w:rFonts w:ascii="Arial" w:hAnsi="Arial"/>
          <w:i/>
          <w:sz w:val="22"/>
        </w:rPr>
        <w:t>utility</w:t>
      </w:r>
      <w:r w:rsidR="00560FD1" w:rsidRPr="006116D8">
        <w:rPr>
          <w:rFonts w:ascii="Arial" w:hAnsi="Arial"/>
          <w:sz w:val="22"/>
        </w:rPr>
        <w:t xml:space="preserve"> variables (things we want to optimize) in the belief network, a decision network (also known as an influence diagram) can be developed. </w:t>
      </w:r>
    </w:p>
    <w:p w:rsidR="00560FD1" w:rsidRDefault="00560FD1" w:rsidP="00560FD1">
      <w:pPr>
        <w:pStyle w:val="NormalWeb"/>
        <w:spacing w:beforeLines="0" w:afterLines="0"/>
        <w:jc w:val="both"/>
        <w:rPr>
          <w:rFonts w:ascii="Arial" w:hAnsi="Arial"/>
          <w:color w:val="000000"/>
          <w:sz w:val="22"/>
        </w:rPr>
      </w:pPr>
      <w:r w:rsidRPr="00560FD1">
        <w:rPr>
          <w:rFonts w:ascii="Arial" w:hAnsi="Arial" w:cs="Arial"/>
          <w:sz w:val="22"/>
          <w:szCs w:val="22"/>
          <w:lang w:eastAsia="en-GB"/>
        </w:rPr>
        <w:t xml:space="preserve">The approach is most easily explained by the application of the approach to the issue of improving animal welfare and consequences throughout the animal product supply chain. </w:t>
      </w:r>
      <w:r w:rsidRPr="006116D8">
        <w:rPr>
          <w:rFonts w:ascii="Arial" w:hAnsi="Arial"/>
          <w:color w:val="000000"/>
          <w:sz w:val="22"/>
        </w:rPr>
        <w:t xml:space="preserve">Here, we have outlined </w:t>
      </w:r>
      <w:proofErr w:type="gramStart"/>
      <w:r w:rsidRPr="006116D8">
        <w:rPr>
          <w:rFonts w:ascii="Arial" w:hAnsi="Arial"/>
          <w:color w:val="000000"/>
          <w:sz w:val="22"/>
        </w:rPr>
        <w:t>an ‘alpha’</w:t>
      </w:r>
      <w:proofErr w:type="gramEnd"/>
      <w:r w:rsidRPr="006116D8">
        <w:rPr>
          <w:rFonts w:ascii="Arial" w:hAnsi="Arial"/>
          <w:color w:val="000000"/>
          <w:sz w:val="22"/>
        </w:rPr>
        <w:t xml:space="preserve"> version of a possible BN representation of the priorities and apparent but implicit linkages between the objectives and instruments for improving AW identified in WP3.  The ‘alpha’ version needs to be considered and amended by Stakeholders prior to eliciting their beliefs about the current states of the variables, and hence the implicit outcomes. Once the general structure (variable (‘</w:t>
      </w:r>
      <w:r w:rsidRPr="006116D8">
        <w:rPr>
          <w:rFonts w:ascii="Arial" w:hAnsi="Arial"/>
          <w:i/>
          <w:color w:val="000000"/>
          <w:sz w:val="22"/>
        </w:rPr>
        <w:t>node’</w:t>
      </w:r>
      <w:r w:rsidRPr="006116D8">
        <w:rPr>
          <w:rFonts w:ascii="Arial" w:hAnsi="Arial"/>
          <w:color w:val="000000"/>
          <w:sz w:val="22"/>
        </w:rPr>
        <w:t>) definition and directional relationships (‘</w:t>
      </w:r>
      <w:r w:rsidRPr="006116D8">
        <w:rPr>
          <w:rFonts w:ascii="Arial" w:hAnsi="Arial"/>
          <w:i/>
          <w:color w:val="000000"/>
          <w:sz w:val="22"/>
        </w:rPr>
        <w:t>edges’</w:t>
      </w:r>
      <w:r w:rsidRPr="006116D8">
        <w:rPr>
          <w:rFonts w:ascii="Arial" w:hAnsi="Arial"/>
          <w:color w:val="000000"/>
          <w:sz w:val="22"/>
        </w:rPr>
        <w:t>) between the</w:t>
      </w:r>
      <w:r w:rsidR="00571B04">
        <w:rPr>
          <w:rFonts w:ascii="Arial" w:hAnsi="Arial"/>
          <w:color w:val="000000"/>
          <w:sz w:val="22"/>
        </w:rPr>
        <w:t xml:space="preserve"> nodes</w:t>
      </w:r>
      <w:r w:rsidRPr="006116D8">
        <w:rPr>
          <w:rFonts w:ascii="Arial" w:hAnsi="Arial"/>
          <w:color w:val="000000"/>
          <w:sz w:val="22"/>
        </w:rPr>
        <w:t>) is established, the ‘beta’ model can be populated with expert (stakeholder) judgements about the current state of the system as represented by the network.  This elicitation can be done electronically with a relatively simple Delphi-like survey of stakeholders for their beliefs about the current states of each of the variables (nodes)</w:t>
      </w:r>
      <w:r>
        <w:rPr>
          <w:rFonts w:ascii="Arial" w:hAnsi="Arial"/>
          <w:color w:val="000000"/>
          <w:sz w:val="22"/>
        </w:rPr>
        <w:t xml:space="preserve">. </w:t>
      </w:r>
    </w:p>
    <w:p w:rsidR="005E3F72" w:rsidRDefault="00AD0619">
      <w:pPr>
        <w:pStyle w:val="NormalWeb"/>
        <w:spacing w:beforeLines="0" w:afterLines="0"/>
        <w:jc w:val="both"/>
        <w:rPr>
          <w:rFonts w:cs="Arial"/>
          <w:szCs w:val="22"/>
          <w:lang w:eastAsia="en-GB"/>
        </w:rPr>
      </w:pPr>
      <w:r w:rsidRPr="00AD0619">
        <w:rPr>
          <w:rFonts w:ascii="Arial" w:hAnsi="Arial" w:cs="Arial"/>
          <w:sz w:val="22"/>
          <w:szCs w:val="22"/>
        </w:rPr>
        <w:t xml:space="preserve">Belief networks provide a natural, efficient method for graphically representing probabilistic dependencies and causal relationships among a set of variables. In essence, they represent causal linkages in a system as a ‘directed </w:t>
      </w:r>
      <w:proofErr w:type="gramStart"/>
      <w:r w:rsidRPr="00AD0619">
        <w:rPr>
          <w:rFonts w:ascii="Arial" w:hAnsi="Arial" w:cs="Arial"/>
          <w:sz w:val="22"/>
          <w:szCs w:val="22"/>
        </w:rPr>
        <w:t>graph’ which</w:t>
      </w:r>
      <w:proofErr w:type="gramEnd"/>
      <w:r w:rsidRPr="00AD0619">
        <w:rPr>
          <w:rFonts w:ascii="Arial" w:hAnsi="Arial" w:cs="Arial"/>
          <w:sz w:val="22"/>
          <w:szCs w:val="22"/>
        </w:rPr>
        <w:t xml:space="preserve"> shows that particular variables (e.g. market demand) influence others (such as animal welfare) in a causal manner.  </w:t>
      </w:r>
      <w:r w:rsidRPr="00AD0619">
        <w:rPr>
          <w:rFonts w:ascii="Arial" w:hAnsi="Arial" w:cs="Arial"/>
          <w:sz w:val="22"/>
          <w:szCs w:val="22"/>
          <w:lang w:eastAsia="en-GB"/>
        </w:rPr>
        <w:t xml:space="preserve">Figure 3 identifies the major economic consequences of </w:t>
      </w:r>
      <w:r w:rsidRPr="00AD0619">
        <w:rPr>
          <w:rFonts w:ascii="Arial" w:hAnsi="Arial" w:cs="Arial"/>
          <w:b/>
          <w:bCs/>
          <w:i/>
          <w:iCs/>
          <w:sz w:val="22"/>
          <w:szCs w:val="22"/>
          <w:lang w:eastAsia="en-GB"/>
        </w:rPr>
        <w:t>changes</w:t>
      </w:r>
      <w:r w:rsidRPr="00AD0619">
        <w:rPr>
          <w:rFonts w:ascii="Arial" w:hAnsi="Arial" w:cs="Arial"/>
          <w:sz w:val="22"/>
          <w:szCs w:val="22"/>
          <w:lang w:eastAsia="en-GB"/>
        </w:rPr>
        <w:t xml:space="preserve"> in animal welfare standards on the supply chain, based on the analysis outlined above. This characterisation of the major consequences throughout the supply chain has been discussed and modified during an intensive workshop held with key stakeholders in Amsterdam, March, 2011, and subsequently refined during the process of collecting indicative judgements about the likely consequences of particular changes from our panel of stakeholders (those connected with each of the participating centres in Econ Welfare, and those responding to the Delphi Survey (D3.2 and 3.3))</w:t>
      </w:r>
      <w:r w:rsidR="00395309">
        <w:rPr>
          <w:rFonts w:ascii="Arial" w:hAnsi="Arial" w:cs="Arial"/>
          <w:sz w:val="22"/>
          <w:szCs w:val="22"/>
          <w:lang w:eastAsia="en-GB"/>
        </w:rPr>
        <w:t xml:space="preserve">. </w:t>
      </w:r>
    </w:p>
    <w:p w:rsidR="00A4532C" w:rsidRDefault="00A4532C" w:rsidP="00A4532C">
      <w:pPr>
        <w:spacing w:after="200"/>
        <w:rPr>
          <w:szCs w:val="17"/>
          <w:lang w:eastAsia="en-GB"/>
        </w:rPr>
      </w:pPr>
      <w:r w:rsidRPr="006C187F">
        <w:rPr>
          <w:szCs w:val="17"/>
          <w:lang w:eastAsia="en-GB"/>
        </w:rPr>
        <w:t>Four different types of animal welfare standard improvement</w:t>
      </w:r>
      <w:r>
        <w:rPr>
          <w:szCs w:val="17"/>
          <w:lang w:eastAsia="en-GB"/>
        </w:rPr>
        <w:t>s, applicable to each of the existing on-farm and off-farm standards,</w:t>
      </w:r>
      <w:r w:rsidRPr="006C187F">
        <w:rPr>
          <w:szCs w:val="17"/>
          <w:lang w:eastAsia="en-GB"/>
        </w:rPr>
        <w:t xml:space="preserve"> are identified in this structure</w:t>
      </w:r>
      <w:r>
        <w:rPr>
          <w:szCs w:val="17"/>
          <w:lang w:eastAsia="en-GB"/>
        </w:rPr>
        <w:t xml:space="preserve"> (second row boxes, Figure 3): </w:t>
      </w:r>
      <w:r w:rsidRPr="00485A42">
        <w:rPr>
          <w:i/>
          <w:szCs w:val="17"/>
          <w:lang w:eastAsia="en-GB"/>
        </w:rPr>
        <w:t>raise the legal minimum standard</w:t>
      </w:r>
      <w:r w:rsidRPr="006C187F">
        <w:rPr>
          <w:szCs w:val="17"/>
          <w:lang w:eastAsia="en-GB"/>
        </w:rPr>
        <w:t xml:space="preserve">; </w:t>
      </w:r>
      <w:r w:rsidRPr="00485A42">
        <w:rPr>
          <w:i/>
          <w:szCs w:val="17"/>
          <w:lang w:eastAsia="en-GB"/>
        </w:rPr>
        <w:t>introduce (or increase participation in existing) premium (higher level) standard</w:t>
      </w:r>
      <w:r w:rsidRPr="006C187F">
        <w:rPr>
          <w:szCs w:val="17"/>
          <w:lang w:eastAsia="en-GB"/>
        </w:rPr>
        <w:t xml:space="preserve">; </w:t>
      </w:r>
      <w:r w:rsidRPr="00485A42">
        <w:rPr>
          <w:i/>
          <w:szCs w:val="17"/>
          <w:lang w:eastAsia="en-GB"/>
        </w:rPr>
        <w:t>increase compliance with existing standards</w:t>
      </w:r>
      <w:r w:rsidRPr="006C187F">
        <w:rPr>
          <w:szCs w:val="17"/>
          <w:lang w:eastAsia="en-GB"/>
        </w:rPr>
        <w:t xml:space="preserve">; </w:t>
      </w:r>
      <w:r w:rsidRPr="00485A42">
        <w:rPr>
          <w:i/>
          <w:szCs w:val="17"/>
          <w:lang w:eastAsia="en-GB"/>
        </w:rPr>
        <w:t>extend best practice</w:t>
      </w:r>
      <w:r w:rsidRPr="006C187F">
        <w:rPr>
          <w:szCs w:val="17"/>
          <w:lang w:eastAsia="en-GB"/>
        </w:rPr>
        <w:t xml:space="preserve"> by encouraging more people and businesses to manage and treat their animals as well as the best in the business. In each case, the effects of these possible changes to the existing system </w:t>
      </w:r>
      <w:r>
        <w:rPr>
          <w:szCs w:val="17"/>
          <w:lang w:eastAsia="en-GB"/>
        </w:rPr>
        <w:t xml:space="preserve">are </w:t>
      </w:r>
      <w:r w:rsidRPr="006C187F">
        <w:rPr>
          <w:szCs w:val="17"/>
          <w:lang w:eastAsia="en-GB"/>
        </w:rPr>
        <w:t xml:space="preserve">conditioned by the "strength" of </w:t>
      </w:r>
      <w:r>
        <w:rPr>
          <w:szCs w:val="17"/>
          <w:lang w:eastAsia="en-GB"/>
        </w:rPr>
        <w:t>existing</w:t>
      </w:r>
      <w:r w:rsidRPr="006C187F">
        <w:rPr>
          <w:szCs w:val="17"/>
          <w:lang w:eastAsia="en-GB"/>
        </w:rPr>
        <w:t xml:space="preserve"> standards</w:t>
      </w:r>
      <w:r>
        <w:rPr>
          <w:szCs w:val="17"/>
          <w:lang w:eastAsia="en-GB"/>
        </w:rPr>
        <w:t xml:space="preserve"> and the extent of market demand for improved AW (top line three boxes in Figure 3)</w:t>
      </w:r>
      <w:r w:rsidRPr="006C187F">
        <w:rPr>
          <w:szCs w:val="17"/>
          <w:lang w:eastAsia="en-GB"/>
        </w:rPr>
        <w:t xml:space="preserve">. </w:t>
      </w:r>
    </w:p>
    <w:p w:rsidR="00B11D51" w:rsidRDefault="00A4532C" w:rsidP="00B11D51">
      <w:pPr>
        <w:spacing w:after="0"/>
        <w:rPr>
          <w:szCs w:val="17"/>
          <w:lang w:eastAsia="en-GB"/>
        </w:rPr>
      </w:pPr>
      <w:r w:rsidRPr="006C187F">
        <w:rPr>
          <w:szCs w:val="17"/>
          <w:lang w:eastAsia="en-GB"/>
        </w:rPr>
        <w:t xml:space="preserve">This </w:t>
      </w:r>
      <w:r>
        <w:rPr>
          <w:szCs w:val="17"/>
          <w:lang w:eastAsia="en-GB"/>
        </w:rPr>
        <w:t>structure</w:t>
      </w:r>
      <w:r w:rsidRPr="006C187F">
        <w:rPr>
          <w:szCs w:val="17"/>
          <w:lang w:eastAsia="en-GB"/>
        </w:rPr>
        <w:t xml:space="preserve"> allows for the possibilities that improving welfare standards in particular directions and in certain circumstances can generate benefits and/or cost reductions to the farmers or chain participants. The extent to which net margin changes reflect farm or chain net costs (costs minus benefits) depends on the extent to which there is a pent-up (currently unsatisfied) market demand for the products of impr</w:t>
      </w:r>
      <w:r>
        <w:rPr>
          <w:szCs w:val="17"/>
          <w:lang w:eastAsia="en-GB"/>
        </w:rPr>
        <w:t>oved standards</w:t>
      </w:r>
      <w:r w:rsidR="009E6CC8">
        <w:rPr>
          <w:szCs w:val="17"/>
          <w:lang w:eastAsia="en-GB"/>
        </w:rPr>
        <w:t xml:space="preserve"> (third and fourth line boxes)</w:t>
      </w:r>
      <w:r w:rsidRPr="006C187F">
        <w:rPr>
          <w:szCs w:val="17"/>
          <w:lang w:eastAsia="en-GB"/>
        </w:rPr>
        <w:t xml:space="preserve">. Finally, at the bottom of the network structure, there may be </w:t>
      </w:r>
      <w:r>
        <w:rPr>
          <w:szCs w:val="17"/>
          <w:lang w:eastAsia="en-GB"/>
        </w:rPr>
        <w:t>consequences for both the struc</w:t>
      </w:r>
      <w:r w:rsidRPr="006C187F">
        <w:rPr>
          <w:szCs w:val="17"/>
          <w:lang w:eastAsia="en-GB"/>
        </w:rPr>
        <w:t>ture of the farm sector and the chain, and effects on total farm output and chain throughput</w:t>
      </w:r>
      <w:r>
        <w:rPr>
          <w:szCs w:val="17"/>
          <w:lang w:eastAsia="en-GB"/>
        </w:rPr>
        <w:t>, reflecting adaptations to changes in competitiveness</w:t>
      </w:r>
      <w:r w:rsidRPr="006C187F">
        <w:rPr>
          <w:szCs w:val="17"/>
          <w:lang w:eastAsia="en-GB"/>
        </w:rPr>
        <w:t>.</w:t>
      </w:r>
    </w:p>
    <w:p w:rsidR="00B11D51" w:rsidRDefault="00B11D51" w:rsidP="00B11D51">
      <w:pPr>
        <w:spacing w:after="0"/>
        <w:rPr>
          <w:noProof/>
          <w:lang w:eastAsia="en-GB"/>
        </w:rPr>
      </w:pPr>
    </w:p>
    <w:p w:rsidR="00E760A2" w:rsidRDefault="00395309">
      <w:pPr>
        <w:spacing w:after="200"/>
        <w:rPr>
          <w:szCs w:val="17"/>
          <w:lang w:eastAsia="en-GB"/>
        </w:rPr>
      </w:pPr>
      <w:r>
        <w:rPr>
          <w:szCs w:val="17"/>
          <w:lang w:eastAsia="en-GB"/>
        </w:rPr>
        <w:t>The Econ Welfare partner country teams have contacted a number of animal welfare-economic experts as well as stakeholders in the production chain to make their own judgements about the chain impacts according to this belief network (‘beliefs of stakeholders’), for their own specific examples of potential improvements.</w:t>
      </w:r>
      <w:r>
        <w:rPr>
          <w:rStyle w:val="FootnoteReference"/>
          <w:szCs w:val="17"/>
          <w:lang w:eastAsia="en-GB"/>
        </w:rPr>
        <w:footnoteReference w:id="13"/>
      </w:r>
      <w:r>
        <w:rPr>
          <w:szCs w:val="17"/>
          <w:lang w:eastAsia="en-GB"/>
        </w:rPr>
        <w:t xml:space="preserve"> Ideally, such a process could generate sufficient diversity of examples and judgements to be able to discern general patterns in the relationships between improved standards and the major consequences for the chain.  </w:t>
      </w:r>
    </w:p>
    <w:p w:rsidR="00E760A2" w:rsidRPr="00E02E22" w:rsidRDefault="00E760A2" w:rsidP="00E760A2">
      <w:pPr>
        <w:spacing w:after="200"/>
        <w:rPr>
          <w:rFonts w:asciiTheme="minorHAnsi" w:hAnsiTheme="minorHAnsi"/>
          <w:sz w:val="28"/>
          <w:szCs w:val="28"/>
          <w:lang w:eastAsia="en-GB"/>
        </w:rPr>
      </w:pPr>
      <w:r w:rsidRPr="0094029B">
        <w:rPr>
          <w:rFonts w:cs="Arial"/>
          <w:color w:val="000000"/>
          <w:szCs w:val="22"/>
        </w:rPr>
        <w:t xml:space="preserve">Experts </w:t>
      </w:r>
      <w:r>
        <w:rPr>
          <w:rFonts w:cs="Arial"/>
          <w:color w:val="000000"/>
          <w:szCs w:val="22"/>
        </w:rPr>
        <w:t xml:space="preserve">across eight countries </w:t>
      </w:r>
      <w:r w:rsidRPr="0094029B">
        <w:rPr>
          <w:rFonts w:cs="Arial"/>
          <w:color w:val="000000"/>
          <w:szCs w:val="22"/>
        </w:rPr>
        <w:t xml:space="preserve">were asked to </w:t>
      </w:r>
      <w:r w:rsidRPr="0094029B">
        <w:rPr>
          <w:rFonts w:cs="Arial"/>
          <w:szCs w:val="22"/>
          <w:lang w:eastAsia="en-GB"/>
        </w:rPr>
        <w:t xml:space="preserve">provide as many 'cases' (collections of node ratings) as possible, </w:t>
      </w:r>
      <w:r>
        <w:rPr>
          <w:rFonts w:cs="Arial"/>
          <w:szCs w:val="22"/>
          <w:lang w:eastAsia="en-GB"/>
        </w:rPr>
        <w:t xml:space="preserve">and for each case to </w:t>
      </w:r>
      <w:r w:rsidRPr="0094029B">
        <w:rPr>
          <w:rFonts w:cs="Arial"/>
          <w:szCs w:val="22"/>
          <w:lang w:eastAsia="en-GB"/>
        </w:rPr>
        <w:t xml:space="preserve">'score' </w:t>
      </w:r>
      <w:r>
        <w:rPr>
          <w:rFonts w:cs="Arial"/>
          <w:szCs w:val="22"/>
          <w:lang w:eastAsia="en-GB"/>
        </w:rPr>
        <w:t xml:space="preserve">according to their judgement and beliefs </w:t>
      </w:r>
      <w:r w:rsidRPr="0094029B">
        <w:rPr>
          <w:rFonts w:cs="Arial"/>
          <w:szCs w:val="22"/>
          <w:lang w:eastAsia="en-GB"/>
        </w:rPr>
        <w:t xml:space="preserve">the </w:t>
      </w:r>
      <w:r>
        <w:rPr>
          <w:rFonts w:cs="Arial"/>
          <w:bCs/>
          <w:szCs w:val="22"/>
          <w:lang w:eastAsia="en-GB"/>
        </w:rPr>
        <w:t xml:space="preserve">a specific improvement (change) in animal welfare standards which could or might be made to increase animal welfare in their country, region or specie relative to current conditions (top line three boxes). Each node included four or five ‘states’ with a score between 1 and 5 (e.g. for farm costs: major increase = ‘1’, minor increase = ‘2’, no change = ‘3’, minor reduction = ‘4’ and major reduction =’5’). </w:t>
      </w:r>
    </w:p>
    <w:p w:rsidR="00131B85" w:rsidRDefault="00131B85">
      <w:pPr>
        <w:spacing w:after="200"/>
        <w:rPr>
          <w:szCs w:val="17"/>
          <w:lang w:eastAsia="en-GB"/>
        </w:rPr>
      </w:pPr>
    </w:p>
    <w:p w:rsidR="00B11D51" w:rsidRPr="00B11D51" w:rsidRDefault="00B11D51" w:rsidP="00B11D51">
      <w:pPr>
        <w:spacing w:after="0"/>
        <w:rPr>
          <w:b/>
          <w:noProof/>
          <w:lang w:eastAsia="en-GB"/>
        </w:rPr>
      </w:pPr>
      <w:r w:rsidRPr="00B11D51">
        <w:rPr>
          <w:b/>
          <w:noProof/>
          <w:lang w:eastAsia="en-GB"/>
        </w:rPr>
        <w:t xml:space="preserve">Figure 3   </w:t>
      </w:r>
      <w:r w:rsidRPr="00B11D51">
        <w:rPr>
          <w:b/>
          <w:noProof/>
          <w:lang w:eastAsia="en-GB"/>
        </w:rPr>
        <w:tab/>
        <w:t>Belief network: Potential impacts of changes in on- and off-farm standards on the chain</w:t>
      </w:r>
      <w:r w:rsidR="00CE38A3">
        <w:rPr>
          <w:b/>
          <w:noProof/>
          <w:lang w:eastAsia="en-GB"/>
        </w:rPr>
        <w:t xml:space="preserve"> (beta model) </w:t>
      </w:r>
    </w:p>
    <w:p w:rsidR="00B11D51" w:rsidRDefault="00B11D51" w:rsidP="00B11D51">
      <w:pPr>
        <w:spacing w:after="0"/>
        <w:rPr>
          <w:noProof/>
          <w:lang w:eastAsia="en-GB"/>
        </w:rPr>
      </w:pPr>
    </w:p>
    <w:p w:rsidR="00B11D51" w:rsidRDefault="00B11D51" w:rsidP="00B11D51">
      <w:pPr>
        <w:spacing w:after="0"/>
        <w:rPr>
          <w:szCs w:val="17"/>
          <w:lang w:eastAsia="en-GB"/>
        </w:rPr>
      </w:pPr>
      <w:r>
        <w:rPr>
          <w:noProof/>
          <w:lang w:val="en-US" w:eastAsia="en-US"/>
        </w:rPr>
        <w:drawing>
          <wp:inline distT="0" distB="0" distL="0" distR="0">
            <wp:extent cx="5768128" cy="5048961"/>
            <wp:effectExtent l="25400" t="0" r="0" b="0"/>
            <wp:docPr id="291" name="Picture 3" descr="CH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IN.gif"/>
                    <pic:cNvPicPr>
                      <a:picLocks noChangeAspect="1"/>
                    </pic:cNvPicPr>
                  </pic:nvPicPr>
                  <pic:blipFill>
                    <a:blip r:embed="rId10" cstate="print"/>
                    <a:stretch>
                      <a:fillRect/>
                    </a:stretch>
                  </pic:blipFill>
                  <pic:spPr>
                    <a:xfrm>
                      <a:off x="0" y="0"/>
                      <a:ext cx="5769050" cy="5049768"/>
                    </a:xfrm>
                    <a:prstGeom prst="rect">
                      <a:avLst/>
                    </a:prstGeom>
                  </pic:spPr>
                </pic:pic>
              </a:graphicData>
            </a:graphic>
          </wp:inline>
        </w:drawing>
      </w:r>
    </w:p>
    <w:p w:rsidR="00560FD1" w:rsidRDefault="00560FD1">
      <w:pPr>
        <w:spacing w:after="200"/>
        <w:rPr>
          <w:szCs w:val="17"/>
          <w:lang w:eastAsia="en-GB"/>
        </w:rPr>
      </w:pPr>
    </w:p>
    <w:p w:rsidR="00DD3A93" w:rsidRDefault="00B11D51" w:rsidP="00DD3A93">
      <w:pPr>
        <w:spacing w:after="200"/>
        <w:rPr>
          <w:szCs w:val="17"/>
          <w:lang w:eastAsia="en-GB"/>
        </w:rPr>
      </w:pPr>
      <w:r>
        <w:rPr>
          <w:szCs w:val="17"/>
          <w:lang w:eastAsia="en-GB"/>
        </w:rPr>
        <w:t xml:space="preserve">However, even this highly simplified representation of the possible consequences of improved standards in the chain (with only 16 ‘nodes’ (variables)) generates more than 3,000 conditional probabilities (possible states of each node depending on states of ‘parent’ (or preceding) nodes.  In order to ‘train’ such a network with expert judgements, we would need in the order of 30,000 responses (cases in which specific setting of each node are associated with each other). This is clearly impossible, so the network needs to be substantially simplified to make it at all tractable as a representation of the judgements of experts about the extent to which AW might be improved and the consequences of such improvements through the chain.  </w:t>
      </w:r>
      <w:r w:rsidR="00DD3A93">
        <w:rPr>
          <w:szCs w:val="17"/>
          <w:lang w:eastAsia="en-GB"/>
        </w:rPr>
        <w:t>The fact that even a greatly simplified ‘model’ of the potential consequences of improved standards through the supply chain is characterised by a very large number of conditional probabilities is simply a reflection of the complexities of the system. While the belief network approach has been termed ‘</w:t>
      </w:r>
      <w:proofErr w:type="spellStart"/>
      <w:r w:rsidR="00DD3A93">
        <w:rPr>
          <w:szCs w:val="17"/>
          <w:lang w:eastAsia="en-GB"/>
        </w:rPr>
        <w:t>simplexity</w:t>
      </w:r>
      <w:proofErr w:type="spellEnd"/>
      <w:r w:rsidR="00DD3A93">
        <w:rPr>
          <w:szCs w:val="17"/>
          <w:lang w:eastAsia="en-GB"/>
        </w:rPr>
        <w:t xml:space="preserve">’, it is clear that any attempt to generalise, or provide informative illustrative examples of these potential consequences and their causes, needs to be approach with caution. </w:t>
      </w:r>
    </w:p>
    <w:p w:rsidR="00B11D51" w:rsidRDefault="00B11D51" w:rsidP="00F26612">
      <w:pPr>
        <w:spacing w:after="0"/>
        <w:rPr>
          <w:szCs w:val="17"/>
          <w:lang w:eastAsia="en-GB"/>
        </w:rPr>
      </w:pPr>
      <w:r>
        <w:rPr>
          <w:szCs w:val="17"/>
          <w:lang w:eastAsia="en-GB"/>
        </w:rPr>
        <w:t>As an example, Figure 4 illustrates such a simplified network structure.</w:t>
      </w:r>
    </w:p>
    <w:p w:rsidR="00B11D51" w:rsidRDefault="00B11D51" w:rsidP="00F26612">
      <w:pPr>
        <w:spacing w:after="0"/>
        <w:rPr>
          <w:szCs w:val="17"/>
          <w:lang w:eastAsia="en-GB"/>
        </w:rPr>
      </w:pPr>
    </w:p>
    <w:p w:rsidR="00C55CBD" w:rsidRDefault="00C55CBD" w:rsidP="00F26612">
      <w:pPr>
        <w:spacing w:after="0"/>
        <w:rPr>
          <w:b/>
          <w:szCs w:val="17"/>
          <w:lang w:eastAsia="en-GB"/>
        </w:rPr>
      </w:pPr>
    </w:p>
    <w:p w:rsidR="00B11D51" w:rsidRPr="002F123F" w:rsidRDefault="00FA5B10" w:rsidP="00F26612">
      <w:pPr>
        <w:spacing w:after="0"/>
        <w:rPr>
          <w:b/>
          <w:szCs w:val="17"/>
          <w:lang w:eastAsia="en-GB"/>
        </w:rPr>
      </w:pPr>
      <w:r w:rsidRPr="00FA5B10">
        <w:rPr>
          <w:b/>
          <w:szCs w:val="17"/>
          <w:lang w:eastAsia="en-GB"/>
        </w:rPr>
        <w:t>Figure 4</w:t>
      </w:r>
      <w:r w:rsidRPr="00FA5B10">
        <w:rPr>
          <w:b/>
          <w:szCs w:val="17"/>
          <w:lang w:eastAsia="en-GB"/>
        </w:rPr>
        <w:tab/>
        <w:t xml:space="preserve">  Simplified Chain Belief Network</w:t>
      </w:r>
    </w:p>
    <w:p w:rsidR="00B11D51" w:rsidRDefault="00B11D51" w:rsidP="00B11D51">
      <w:pPr>
        <w:spacing w:after="0"/>
        <w:rPr>
          <w:szCs w:val="17"/>
          <w:lang w:eastAsia="en-GB"/>
        </w:rPr>
      </w:pPr>
      <w:r>
        <w:rPr>
          <w:b/>
          <w:noProof/>
          <w:szCs w:val="17"/>
          <w:lang w:val="en-US" w:eastAsia="en-US"/>
        </w:rPr>
        <w:drawing>
          <wp:inline distT="0" distB="0" distL="0" distR="0">
            <wp:extent cx="4889500" cy="3234592"/>
            <wp:effectExtent l="19050" t="0" r="6350" b="0"/>
            <wp:docPr id="1" name="Picture 1" descr="ChainBBN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BBNSS.gif"/>
                    <pic:cNvPicPr/>
                  </pic:nvPicPr>
                  <pic:blipFill>
                    <a:blip r:embed="rId11" cstate="print"/>
                    <a:stretch>
                      <a:fillRect/>
                    </a:stretch>
                  </pic:blipFill>
                  <pic:spPr>
                    <a:xfrm>
                      <a:off x="0" y="0"/>
                      <a:ext cx="4889500" cy="3234592"/>
                    </a:xfrm>
                    <a:prstGeom prst="rect">
                      <a:avLst/>
                    </a:prstGeom>
                  </pic:spPr>
                </pic:pic>
              </a:graphicData>
            </a:graphic>
          </wp:inline>
        </w:drawing>
      </w:r>
    </w:p>
    <w:p w:rsidR="002C5BB1" w:rsidRDefault="002C5BB1" w:rsidP="004C06C7">
      <w:pPr>
        <w:spacing w:after="200"/>
        <w:rPr>
          <w:szCs w:val="17"/>
          <w:lang w:eastAsia="en-GB"/>
        </w:rPr>
      </w:pPr>
    </w:p>
    <w:p w:rsidR="00395309" w:rsidRPr="007805A8" w:rsidRDefault="00B11D51" w:rsidP="00E72FDA">
      <w:pPr>
        <w:spacing w:after="200"/>
        <w:rPr>
          <w:szCs w:val="17"/>
          <w:lang w:eastAsia="en-GB"/>
        </w:rPr>
      </w:pPr>
      <w:r>
        <w:rPr>
          <w:szCs w:val="17"/>
          <w:lang w:eastAsia="en-GB"/>
        </w:rPr>
        <w:t>Even this simplified network (which can be populated with responses to the more complete version above) comprises 133 conditional probabilities, needing upwards of 1300 responses (cases) to populate and train the network reliably.  However, this simplification can be further dissected into three separate causal networks: a) to relate potential improvements in on- and off-farm standards directly to improvements in AW; b) to examine the relationships between these potential improvements for each of the on-farm (b1) and off-farm (b2) margins and output levels. These further simplifications provide a means of utilising necessarily sparse and incomplete data to demonstrate the potential utility of the approach</w:t>
      </w:r>
      <w:r w:rsidR="00E94651">
        <w:rPr>
          <w:szCs w:val="17"/>
          <w:lang w:eastAsia="en-GB"/>
        </w:rPr>
        <w:t>.</w:t>
      </w:r>
      <w:r>
        <w:rPr>
          <w:szCs w:val="17"/>
          <w:lang w:eastAsia="en-GB"/>
        </w:rPr>
        <w:t xml:space="preserve"> </w:t>
      </w:r>
    </w:p>
    <w:p w:rsidR="00E760A2" w:rsidRDefault="00E760A2" w:rsidP="00E72FDA">
      <w:pPr>
        <w:spacing w:after="200"/>
        <w:rPr>
          <w:rFonts w:cs="Arial"/>
          <w:b/>
          <w:bCs/>
          <w:szCs w:val="22"/>
          <w:lang w:eastAsia="en-GB"/>
        </w:rPr>
      </w:pPr>
    </w:p>
    <w:p w:rsidR="00E760A2" w:rsidRDefault="00E760A2" w:rsidP="00E72FDA">
      <w:pPr>
        <w:spacing w:after="200"/>
        <w:rPr>
          <w:rFonts w:cs="Arial"/>
          <w:b/>
          <w:bCs/>
          <w:szCs w:val="22"/>
          <w:lang w:eastAsia="en-GB"/>
        </w:rPr>
      </w:pPr>
    </w:p>
    <w:p w:rsidR="00E72FDA" w:rsidRPr="00395309" w:rsidRDefault="00E72FDA" w:rsidP="00E72FDA">
      <w:pPr>
        <w:spacing w:after="200"/>
        <w:rPr>
          <w:rFonts w:cs="Arial"/>
          <w:b/>
          <w:bCs/>
          <w:szCs w:val="22"/>
          <w:lang w:eastAsia="en-GB"/>
        </w:rPr>
      </w:pPr>
      <w:r w:rsidRPr="00395309">
        <w:rPr>
          <w:rFonts w:cs="Arial"/>
          <w:b/>
          <w:bCs/>
          <w:szCs w:val="22"/>
          <w:lang w:eastAsia="en-GB"/>
        </w:rPr>
        <w:t xml:space="preserve">Data Analysis </w:t>
      </w:r>
    </w:p>
    <w:p w:rsidR="00442C12" w:rsidRDefault="00E72FDA" w:rsidP="00E72FDA">
      <w:pPr>
        <w:spacing w:after="0"/>
        <w:rPr>
          <w:rFonts w:cs="Arial"/>
          <w:bCs/>
          <w:szCs w:val="22"/>
          <w:lang w:eastAsia="en-GB"/>
        </w:rPr>
      </w:pPr>
      <w:r>
        <w:rPr>
          <w:rFonts w:cs="Arial"/>
          <w:bCs/>
          <w:szCs w:val="22"/>
          <w:lang w:eastAsia="en-GB"/>
        </w:rPr>
        <w:t>Some 8</w:t>
      </w:r>
      <w:r w:rsidR="00154507">
        <w:rPr>
          <w:rFonts w:cs="Arial"/>
          <w:bCs/>
          <w:szCs w:val="22"/>
          <w:lang w:eastAsia="en-GB"/>
        </w:rPr>
        <w:t>5</w:t>
      </w:r>
      <w:r>
        <w:rPr>
          <w:rFonts w:cs="Arial"/>
          <w:bCs/>
          <w:szCs w:val="22"/>
          <w:lang w:eastAsia="en-GB"/>
        </w:rPr>
        <w:t xml:space="preserve"> cases across the eight countries were receive</w:t>
      </w:r>
      <w:r w:rsidR="00334D66">
        <w:rPr>
          <w:rFonts w:cs="Arial"/>
          <w:bCs/>
          <w:szCs w:val="22"/>
          <w:lang w:eastAsia="en-GB"/>
        </w:rPr>
        <w:t>d by the end of June 2011</w:t>
      </w:r>
      <w:r w:rsidR="00B56572">
        <w:rPr>
          <w:rFonts w:cs="Arial"/>
          <w:bCs/>
          <w:szCs w:val="22"/>
          <w:lang w:eastAsia="en-GB"/>
        </w:rPr>
        <w:t xml:space="preserve">. The </w:t>
      </w:r>
      <w:r w:rsidR="00DD3A93">
        <w:rPr>
          <w:rFonts w:cs="Arial"/>
          <w:bCs/>
          <w:szCs w:val="22"/>
          <w:lang w:eastAsia="en-GB"/>
        </w:rPr>
        <w:t xml:space="preserve">distribution of </w:t>
      </w:r>
      <w:r w:rsidR="00442C12">
        <w:rPr>
          <w:rFonts w:cs="Arial"/>
          <w:bCs/>
          <w:szCs w:val="22"/>
          <w:lang w:eastAsia="en-GB"/>
        </w:rPr>
        <w:t xml:space="preserve">responses </w:t>
      </w:r>
      <w:r w:rsidR="00DD3A93">
        <w:rPr>
          <w:rFonts w:cs="Arial"/>
          <w:bCs/>
          <w:szCs w:val="22"/>
          <w:lang w:eastAsia="en-GB"/>
        </w:rPr>
        <w:t xml:space="preserve">regarding the </w:t>
      </w:r>
      <w:r w:rsidR="00442C12">
        <w:rPr>
          <w:rFonts w:cs="Arial"/>
          <w:bCs/>
          <w:szCs w:val="22"/>
          <w:lang w:eastAsia="en-GB"/>
        </w:rPr>
        <w:t xml:space="preserve">‘strength’ of existing standards and market demand, are </w:t>
      </w:r>
      <w:r w:rsidR="007805A8">
        <w:rPr>
          <w:rFonts w:cs="Arial"/>
          <w:bCs/>
          <w:szCs w:val="22"/>
          <w:lang w:eastAsia="en-GB"/>
        </w:rPr>
        <w:t>shown</w:t>
      </w:r>
      <w:r w:rsidR="00442C12">
        <w:rPr>
          <w:rFonts w:cs="Arial"/>
          <w:bCs/>
          <w:szCs w:val="22"/>
          <w:lang w:eastAsia="en-GB"/>
        </w:rPr>
        <w:t xml:space="preserve"> </w:t>
      </w:r>
      <w:r w:rsidR="00684153">
        <w:rPr>
          <w:rFonts w:cs="Arial"/>
          <w:bCs/>
          <w:szCs w:val="22"/>
          <w:lang w:eastAsia="en-GB"/>
        </w:rPr>
        <w:t xml:space="preserve">in Figure 5, and may not necessarily come as a surprise. The respondents </w:t>
      </w:r>
      <w:r w:rsidR="000C3546">
        <w:rPr>
          <w:rFonts w:cs="Arial"/>
          <w:bCs/>
          <w:szCs w:val="22"/>
          <w:lang w:eastAsia="en-GB"/>
        </w:rPr>
        <w:t xml:space="preserve">generally </w:t>
      </w:r>
      <w:r w:rsidR="00684153">
        <w:rPr>
          <w:rFonts w:cs="Arial"/>
          <w:bCs/>
          <w:szCs w:val="22"/>
          <w:lang w:eastAsia="en-GB"/>
        </w:rPr>
        <w:t xml:space="preserve">believe </w:t>
      </w:r>
      <w:proofErr w:type="gramStart"/>
      <w:r w:rsidR="00684153">
        <w:rPr>
          <w:rFonts w:cs="Arial"/>
          <w:bCs/>
          <w:szCs w:val="22"/>
          <w:lang w:eastAsia="en-GB"/>
        </w:rPr>
        <w:t xml:space="preserve">that </w:t>
      </w:r>
      <w:r w:rsidR="00442C12">
        <w:rPr>
          <w:rFonts w:cs="Arial"/>
          <w:bCs/>
          <w:szCs w:val="22"/>
          <w:lang w:eastAsia="en-GB"/>
        </w:rPr>
        <w:t xml:space="preserve"> </w:t>
      </w:r>
      <w:r w:rsidR="00684153">
        <w:rPr>
          <w:rFonts w:cs="Arial"/>
          <w:bCs/>
          <w:szCs w:val="22"/>
          <w:lang w:eastAsia="en-GB"/>
        </w:rPr>
        <w:t>both</w:t>
      </w:r>
      <w:proofErr w:type="gramEnd"/>
      <w:r w:rsidR="00684153">
        <w:rPr>
          <w:rFonts w:cs="Arial"/>
          <w:bCs/>
          <w:szCs w:val="22"/>
          <w:lang w:eastAsia="en-GB"/>
        </w:rPr>
        <w:t xml:space="preserve"> existing on-farm and off-farm animal welfare standards are strong or very strong, but </w:t>
      </w:r>
      <w:r w:rsidR="00395309">
        <w:rPr>
          <w:rFonts w:cs="Arial"/>
          <w:bCs/>
          <w:szCs w:val="22"/>
          <w:lang w:eastAsia="en-GB"/>
        </w:rPr>
        <w:t xml:space="preserve">that </w:t>
      </w:r>
      <w:r w:rsidR="00684153">
        <w:rPr>
          <w:rFonts w:cs="Arial"/>
          <w:bCs/>
          <w:szCs w:val="22"/>
          <w:lang w:eastAsia="en-GB"/>
        </w:rPr>
        <w:t xml:space="preserve">there is a weak demand for animal welfare products. </w:t>
      </w:r>
    </w:p>
    <w:p w:rsidR="00E760A2" w:rsidRDefault="00E760A2" w:rsidP="00E72FDA">
      <w:pPr>
        <w:spacing w:after="0"/>
        <w:rPr>
          <w:rFonts w:cs="Arial"/>
          <w:bCs/>
          <w:szCs w:val="22"/>
          <w:lang w:eastAsia="en-GB"/>
        </w:rPr>
      </w:pPr>
    </w:p>
    <w:p w:rsidR="00E760A2" w:rsidRDefault="00E760A2" w:rsidP="00E760A2">
      <w:pPr>
        <w:spacing w:after="0"/>
        <w:rPr>
          <w:color w:val="000000"/>
        </w:rPr>
      </w:pPr>
      <w:r>
        <w:rPr>
          <w:rFonts w:cs="Arial"/>
          <w:bCs/>
          <w:szCs w:val="22"/>
          <w:lang w:eastAsia="en-GB"/>
        </w:rPr>
        <w:t xml:space="preserve">Given the relatively low number of responses and in order to reduce the number of conditional probabilities, the initial ‘beta’ model was adjusted by reducing the number of ‘states’ in the nodes from 4 to 2 or from 5 to 3. </w:t>
      </w:r>
      <w:r>
        <w:rPr>
          <w:color w:val="000000"/>
        </w:rPr>
        <w:t xml:space="preserve">Figure 6 presents the ‘trained’ version of the re-adjusted ‘beta’ model as populated with the experts’ scores.  </w:t>
      </w:r>
    </w:p>
    <w:p w:rsidR="00C55CBD" w:rsidRDefault="00C55CBD" w:rsidP="00E72FDA">
      <w:pPr>
        <w:spacing w:after="0"/>
        <w:rPr>
          <w:rFonts w:cs="Arial"/>
          <w:bCs/>
          <w:szCs w:val="22"/>
          <w:lang w:eastAsia="en-GB"/>
        </w:rPr>
      </w:pPr>
    </w:p>
    <w:p w:rsidR="00C55CBD" w:rsidRDefault="00C55CBD" w:rsidP="00E72FDA">
      <w:pPr>
        <w:spacing w:after="0"/>
        <w:rPr>
          <w:rFonts w:cs="Arial"/>
          <w:bCs/>
          <w:szCs w:val="22"/>
          <w:lang w:eastAsia="en-GB"/>
        </w:rPr>
      </w:pPr>
    </w:p>
    <w:p w:rsidR="00C55CBD" w:rsidRDefault="00C55CBD" w:rsidP="00E72FDA">
      <w:pPr>
        <w:spacing w:after="0"/>
        <w:rPr>
          <w:rFonts w:cs="Arial"/>
          <w:bCs/>
          <w:szCs w:val="22"/>
          <w:lang w:eastAsia="en-GB"/>
        </w:rPr>
      </w:pPr>
    </w:p>
    <w:p w:rsidR="00C55CBD" w:rsidRDefault="00C55CBD" w:rsidP="00E72FDA">
      <w:pPr>
        <w:spacing w:after="0"/>
        <w:rPr>
          <w:rFonts w:cs="Arial"/>
          <w:bCs/>
          <w:szCs w:val="22"/>
          <w:lang w:eastAsia="en-GB"/>
        </w:rPr>
      </w:pPr>
    </w:p>
    <w:p w:rsidR="00C55CBD" w:rsidRDefault="00C55CBD" w:rsidP="00E72FDA">
      <w:pPr>
        <w:spacing w:after="0"/>
        <w:rPr>
          <w:rFonts w:cs="Arial"/>
          <w:bCs/>
          <w:szCs w:val="22"/>
          <w:lang w:eastAsia="en-GB"/>
        </w:rPr>
      </w:pPr>
    </w:p>
    <w:p w:rsidR="00442C12" w:rsidRDefault="00442C12" w:rsidP="00E72FDA">
      <w:pPr>
        <w:spacing w:after="0"/>
        <w:rPr>
          <w:rFonts w:cs="Arial"/>
          <w:bCs/>
          <w:szCs w:val="22"/>
          <w:lang w:eastAsia="en-GB"/>
        </w:rPr>
      </w:pPr>
    </w:p>
    <w:p w:rsidR="00684153" w:rsidRDefault="00684153" w:rsidP="00E72FDA">
      <w:pPr>
        <w:spacing w:after="0"/>
        <w:rPr>
          <w:rFonts w:cs="Arial"/>
          <w:bCs/>
          <w:szCs w:val="22"/>
          <w:lang w:eastAsia="en-GB"/>
        </w:rPr>
      </w:pPr>
    </w:p>
    <w:p w:rsidR="00684153" w:rsidRPr="002F123F" w:rsidRDefault="00684153" w:rsidP="00684153">
      <w:pPr>
        <w:spacing w:after="0"/>
        <w:jc w:val="center"/>
        <w:rPr>
          <w:rFonts w:cs="Arial"/>
          <w:b/>
          <w:bCs/>
          <w:szCs w:val="22"/>
          <w:lang w:eastAsia="en-GB"/>
        </w:rPr>
      </w:pPr>
      <w:r w:rsidRPr="002F123F">
        <w:rPr>
          <w:rFonts w:cs="Arial"/>
          <w:b/>
          <w:bCs/>
          <w:szCs w:val="22"/>
          <w:lang w:eastAsia="en-GB"/>
        </w:rPr>
        <w:t>Figure 5. Frequency of responses for existing standards and market demand (%)</w:t>
      </w:r>
    </w:p>
    <w:p w:rsidR="00E760A2" w:rsidRDefault="00FC2175" w:rsidP="00E760A2">
      <w:pPr>
        <w:spacing w:after="0"/>
        <w:jc w:val="center"/>
        <w:rPr>
          <w:rFonts w:cs="Arial"/>
          <w:bCs/>
          <w:szCs w:val="22"/>
          <w:lang w:eastAsia="en-GB"/>
        </w:rPr>
      </w:pPr>
      <w:r>
        <w:rPr>
          <w:rFonts w:cs="Arial"/>
          <w:bCs/>
          <w:noProof/>
          <w:szCs w:val="22"/>
          <w:lang w:val="en-US" w:eastAsia="en-US"/>
        </w:rPr>
        <w:drawing>
          <wp:inline distT="0" distB="0" distL="0" distR="0">
            <wp:extent cx="4572000" cy="2743200"/>
            <wp:effectExtent l="19050" t="0" r="19050" b="0"/>
            <wp:docPr id="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760A2" w:rsidRDefault="00E760A2" w:rsidP="00E760A2">
      <w:pPr>
        <w:spacing w:after="0"/>
        <w:jc w:val="center"/>
        <w:rPr>
          <w:rFonts w:cs="Arial"/>
          <w:bCs/>
          <w:szCs w:val="22"/>
          <w:lang w:eastAsia="en-GB"/>
        </w:rPr>
      </w:pPr>
    </w:p>
    <w:p w:rsidR="00395309" w:rsidRPr="00E760A2" w:rsidRDefault="00E760A2" w:rsidP="00E760A2">
      <w:pPr>
        <w:spacing w:after="0"/>
        <w:rPr>
          <w:rFonts w:cs="Arial"/>
          <w:bCs/>
          <w:szCs w:val="22"/>
          <w:lang w:eastAsia="en-GB"/>
        </w:rPr>
      </w:pPr>
      <w:r>
        <w:rPr>
          <w:color w:val="000000"/>
        </w:rPr>
        <w:t>Despite the reduced number of responses, the model results show that changes of-farm and off-farm standards (second line of boxes) are</w:t>
      </w:r>
      <w:r w:rsidRPr="00E760A2">
        <w:rPr>
          <w:color w:val="000000"/>
        </w:rPr>
        <w:t xml:space="preserve"> </w:t>
      </w:r>
      <w:r>
        <w:rPr>
          <w:color w:val="000000"/>
        </w:rPr>
        <w:t>indeed judged to have a significant influence on welfare improvement.  However, these changes have to be beyond ‘raising the legal minimum standards”, at least at the farm level.  Table 1 shows all the possible combinations of conditional probabilities between improve on-farm and off-farm standards and their impact (probability) on the improvement of animal welfare, according to our experts’ judgements. Against the background conditions illustrated in Figure 5, our experts have responded about equally amongst the options for improving on-farm standards, though tend to favour improving compliance with existing standards for the of-farm (marketing chain) over increasing minimum standards, introducing (or extending) premium standards, or extending best practice (Figure 6). These changes are generally thought to increase both farm and chain costs (80% and 55% respectively), though also to be capable of improving returns (benefits) by 23 and 72% respectively.  The consequential effects of these changes on farm and chain net margins (given the background of market demand</w:t>
      </w:r>
      <w:proofErr w:type="gramStart"/>
      <w:r>
        <w:rPr>
          <w:color w:val="000000"/>
        </w:rPr>
        <w:t>),</w:t>
      </w:r>
      <w:proofErr w:type="gramEnd"/>
      <w:r>
        <w:rPr>
          <w:color w:val="000000"/>
        </w:rPr>
        <w:t xml:space="preserve"> are shown to be evenly spread (Figure 6) between reducing, no change or improving margins. However, the changes are expected to lead to more concentrated farm and chain structures on balance, with a tendency towards reduced outputs (throughputs). The effects on animal welfare (bottom box, Figure 6) are, of course, positive – with our experts believing that their imagined changes will lead to substantial improvements in animal welfare (82.6%).</w:t>
      </w:r>
    </w:p>
    <w:p w:rsidR="00395309" w:rsidRDefault="00395309" w:rsidP="005B3C36">
      <w:pPr>
        <w:spacing w:after="0"/>
        <w:rPr>
          <w:color w:val="000000"/>
        </w:rPr>
      </w:pPr>
    </w:p>
    <w:p w:rsidR="002F123F" w:rsidRDefault="002F123F">
      <w:pPr>
        <w:spacing w:after="200" w:line="276" w:lineRule="auto"/>
        <w:jc w:val="left"/>
        <w:rPr>
          <w:b/>
          <w:color w:val="000000"/>
        </w:rPr>
      </w:pPr>
      <w:r>
        <w:rPr>
          <w:b/>
          <w:color w:val="000000"/>
        </w:rPr>
        <w:br w:type="page"/>
      </w:r>
    </w:p>
    <w:p w:rsidR="002F123F" w:rsidRPr="002F123F" w:rsidRDefault="002F123F" w:rsidP="005B3C36">
      <w:pPr>
        <w:spacing w:after="0"/>
        <w:rPr>
          <w:b/>
          <w:color w:val="000000"/>
        </w:rPr>
      </w:pPr>
      <w:r>
        <w:rPr>
          <w:b/>
          <w:color w:val="000000"/>
        </w:rPr>
        <w:t>Figure 6:</w:t>
      </w:r>
      <w:r>
        <w:rPr>
          <w:b/>
          <w:color w:val="000000"/>
        </w:rPr>
        <w:tab/>
        <w:t>Chain Belief Network – Beta version, with expert judgements.</w:t>
      </w:r>
    </w:p>
    <w:p w:rsidR="005B3C36" w:rsidRDefault="00FC2175" w:rsidP="00AA64F3">
      <w:pPr>
        <w:spacing w:after="200"/>
        <w:rPr>
          <w:color w:val="000000"/>
        </w:rPr>
      </w:pPr>
      <w:r>
        <w:rPr>
          <w:noProof/>
          <w:szCs w:val="17"/>
          <w:lang w:val="en-US" w:eastAsia="en-US"/>
        </w:rPr>
        <w:drawing>
          <wp:inline distT="0" distB="0" distL="0" distR="0">
            <wp:extent cx="5760720" cy="4331086"/>
            <wp:effectExtent l="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760720" cy="4331086"/>
                    </a:xfrm>
                    <a:prstGeom prst="rect">
                      <a:avLst/>
                    </a:prstGeom>
                    <a:noFill/>
                    <a:ln w="9525">
                      <a:noFill/>
                      <a:miter lim="800000"/>
                      <a:headEnd/>
                      <a:tailEnd/>
                    </a:ln>
                  </pic:spPr>
                </pic:pic>
              </a:graphicData>
            </a:graphic>
          </wp:inline>
        </w:drawing>
      </w:r>
    </w:p>
    <w:p w:rsidR="005B3C36" w:rsidRDefault="005B3C36" w:rsidP="005B3C36">
      <w:pPr>
        <w:spacing w:after="0"/>
        <w:rPr>
          <w:color w:val="000000"/>
        </w:rPr>
      </w:pPr>
      <w:r w:rsidRPr="002F123F">
        <w:rPr>
          <w:b/>
          <w:color w:val="000000"/>
        </w:rPr>
        <w:t xml:space="preserve"> Table 1. Conditional Probabilities for Effective Animal Welfare Improvement</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59"/>
        <w:gridCol w:w="3260"/>
        <w:gridCol w:w="1134"/>
        <w:gridCol w:w="1276"/>
      </w:tblGrid>
      <w:tr w:rsidR="005B3C36" w:rsidRPr="00DE5392">
        <w:trPr>
          <w:trHeight w:val="300"/>
        </w:trPr>
        <w:tc>
          <w:tcPr>
            <w:tcW w:w="3559" w:type="dxa"/>
            <w:shd w:val="clear" w:color="auto" w:fill="auto"/>
            <w:noWrap/>
            <w:vAlign w:val="bottom"/>
          </w:tcPr>
          <w:p w:rsidR="005B3C36" w:rsidRPr="002F123F" w:rsidRDefault="005B3C36" w:rsidP="009D1CD5">
            <w:pPr>
              <w:spacing w:after="0"/>
              <w:rPr>
                <w:b/>
                <w:color w:val="000000"/>
                <w:sz w:val="20"/>
                <w:lang w:eastAsia="en-GB"/>
              </w:rPr>
            </w:pPr>
            <w:r w:rsidRPr="002F123F">
              <w:rPr>
                <w:b/>
                <w:color w:val="000000"/>
                <w:sz w:val="20"/>
                <w:lang w:eastAsia="en-GB"/>
              </w:rPr>
              <w:t>On-Farm Standards</w:t>
            </w:r>
          </w:p>
        </w:tc>
        <w:tc>
          <w:tcPr>
            <w:tcW w:w="3260" w:type="dxa"/>
            <w:shd w:val="clear" w:color="auto" w:fill="auto"/>
            <w:noWrap/>
            <w:vAlign w:val="bottom"/>
          </w:tcPr>
          <w:p w:rsidR="005B3C36" w:rsidRPr="002F123F" w:rsidRDefault="005B3C36" w:rsidP="009D1CD5">
            <w:pPr>
              <w:spacing w:after="0"/>
              <w:rPr>
                <w:b/>
                <w:color w:val="000000"/>
                <w:sz w:val="20"/>
                <w:lang w:eastAsia="en-GB"/>
              </w:rPr>
            </w:pPr>
            <w:r w:rsidRPr="002F123F">
              <w:rPr>
                <w:b/>
                <w:color w:val="000000"/>
                <w:sz w:val="20"/>
                <w:lang w:eastAsia="en-GB"/>
              </w:rPr>
              <w:t>Off-Farm Standards</w:t>
            </w:r>
          </w:p>
        </w:tc>
        <w:tc>
          <w:tcPr>
            <w:tcW w:w="2410" w:type="dxa"/>
            <w:gridSpan w:val="2"/>
            <w:shd w:val="clear" w:color="auto" w:fill="auto"/>
            <w:noWrap/>
            <w:vAlign w:val="bottom"/>
          </w:tcPr>
          <w:p w:rsidR="005B3C36" w:rsidRPr="002F123F" w:rsidRDefault="005B3C36" w:rsidP="009D1CD5">
            <w:pPr>
              <w:spacing w:after="0"/>
              <w:jc w:val="center"/>
              <w:rPr>
                <w:b/>
                <w:color w:val="000000"/>
                <w:sz w:val="20"/>
                <w:lang w:eastAsia="en-GB"/>
              </w:rPr>
            </w:pPr>
            <w:r w:rsidRPr="002F123F">
              <w:rPr>
                <w:b/>
                <w:color w:val="000000"/>
                <w:sz w:val="20"/>
                <w:lang w:eastAsia="en-GB"/>
              </w:rPr>
              <w:t>Welfare Improvement</w:t>
            </w:r>
          </w:p>
          <w:p w:rsidR="005B3C36" w:rsidRPr="002F123F" w:rsidRDefault="005B3C36" w:rsidP="009D1CD5">
            <w:pPr>
              <w:spacing w:after="0"/>
              <w:jc w:val="center"/>
              <w:rPr>
                <w:b/>
                <w:color w:val="000000"/>
                <w:sz w:val="20"/>
                <w:lang w:eastAsia="en-GB"/>
              </w:rPr>
            </w:pPr>
            <w:r w:rsidRPr="002F123F">
              <w:rPr>
                <w:b/>
                <w:color w:val="000000"/>
                <w:sz w:val="20"/>
                <w:lang w:eastAsia="en-GB"/>
              </w:rPr>
              <w:t xml:space="preserve">Substantial       Modest </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Raise the legal minimu</w:t>
            </w:r>
            <w:r w:rsidRPr="002F123F">
              <w:rPr>
                <w:color w:val="000000"/>
                <w:sz w:val="20"/>
                <w:lang w:eastAsia="en-GB"/>
              </w:rPr>
              <w:t>m</w:t>
            </w:r>
            <w:r w:rsidRPr="002F123F">
              <w:rPr>
                <w:color w:val="000000"/>
                <w:sz w:val="20"/>
                <w:szCs w:val="22"/>
                <w:lang w:eastAsia="en-GB"/>
              </w:rPr>
              <w:t xml:space="preserve"> </w:t>
            </w:r>
            <w:proofErr w:type="gramStart"/>
            <w:r w:rsidRPr="002F123F">
              <w:rPr>
                <w:color w:val="000000"/>
                <w:sz w:val="20"/>
                <w:szCs w:val="22"/>
                <w:lang w:eastAsia="en-GB"/>
              </w:rPr>
              <w:t xml:space="preserve">standard  </w:t>
            </w:r>
            <w:proofErr w:type="gramEnd"/>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Raise the legal minimu</w:t>
            </w:r>
            <w:r w:rsidRPr="002F123F">
              <w:rPr>
                <w:color w:val="000000"/>
                <w:sz w:val="20"/>
                <w:lang w:eastAsia="en-GB"/>
              </w:rPr>
              <w:t>m</w:t>
            </w:r>
            <w:r w:rsidRPr="002F123F">
              <w:rPr>
                <w:color w:val="000000"/>
                <w:sz w:val="20"/>
                <w:szCs w:val="22"/>
                <w:lang w:eastAsia="en-GB"/>
              </w:rPr>
              <w:t xml:space="preserve"> </w:t>
            </w:r>
            <w:proofErr w:type="gramStart"/>
            <w:r w:rsidRPr="002F123F">
              <w:rPr>
                <w:color w:val="000000"/>
                <w:sz w:val="20"/>
                <w:szCs w:val="22"/>
                <w:lang w:eastAsia="en-GB"/>
              </w:rPr>
              <w:t xml:space="preserve">standard  </w:t>
            </w:r>
            <w:proofErr w:type="gramEnd"/>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0.36</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0.64</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Raise the legal minimu</w:t>
            </w:r>
            <w:r w:rsidRPr="002F123F">
              <w:rPr>
                <w:color w:val="000000"/>
                <w:sz w:val="20"/>
                <w:lang w:eastAsia="en-GB"/>
              </w:rPr>
              <w:t>m</w:t>
            </w:r>
            <w:r w:rsidRPr="002F123F">
              <w:rPr>
                <w:color w:val="000000"/>
                <w:sz w:val="20"/>
                <w:szCs w:val="22"/>
                <w:lang w:eastAsia="en-GB"/>
              </w:rPr>
              <w:t xml:space="preserve"> </w:t>
            </w:r>
            <w:proofErr w:type="gramStart"/>
            <w:r w:rsidRPr="002F123F">
              <w:rPr>
                <w:color w:val="000000"/>
                <w:sz w:val="20"/>
                <w:szCs w:val="22"/>
                <w:lang w:eastAsia="en-GB"/>
              </w:rPr>
              <w:t xml:space="preserve">standard  </w:t>
            </w:r>
            <w:proofErr w:type="gramEnd"/>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Premium Standard</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1.00</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0.00</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Raise the legal minimu</w:t>
            </w:r>
            <w:r w:rsidRPr="002F123F">
              <w:rPr>
                <w:color w:val="000000"/>
                <w:sz w:val="20"/>
                <w:lang w:eastAsia="en-GB"/>
              </w:rPr>
              <w:t>m</w:t>
            </w:r>
            <w:r w:rsidRPr="002F123F">
              <w:rPr>
                <w:color w:val="000000"/>
                <w:sz w:val="20"/>
                <w:szCs w:val="22"/>
                <w:lang w:eastAsia="en-GB"/>
              </w:rPr>
              <w:t xml:space="preserve"> </w:t>
            </w:r>
            <w:proofErr w:type="gramStart"/>
            <w:r w:rsidRPr="002F123F">
              <w:rPr>
                <w:color w:val="000000"/>
                <w:sz w:val="20"/>
                <w:szCs w:val="22"/>
                <w:lang w:eastAsia="en-GB"/>
              </w:rPr>
              <w:t xml:space="preserve">standard  </w:t>
            </w:r>
            <w:proofErr w:type="gramEnd"/>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Increase Compliance</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1.00</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0.00</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Raise the legal minimu</w:t>
            </w:r>
            <w:r w:rsidRPr="002F123F">
              <w:rPr>
                <w:color w:val="000000"/>
                <w:sz w:val="20"/>
                <w:lang w:eastAsia="en-GB"/>
              </w:rPr>
              <w:t>m</w:t>
            </w:r>
            <w:r w:rsidRPr="002F123F">
              <w:rPr>
                <w:color w:val="000000"/>
                <w:sz w:val="20"/>
                <w:szCs w:val="22"/>
                <w:lang w:eastAsia="en-GB"/>
              </w:rPr>
              <w:t xml:space="preserve"> </w:t>
            </w:r>
            <w:proofErr w:type="gramStart"/>
            <w:r w:rsidRPr="002F123F">
              <w:rPr>
                <w:color w:val="000000"/>
                <w:sz w:val="20"/>
                <w:szCs w:val="22"/>
                <w:lang w:eastAsia="en-GB"/>
              </w:rPr>
              <w:t xml:space="preserve">standard  </w:t>
            </w:r>
            <w:proofErr w:type="gramEnd"/>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Extend best practice</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1.00</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0.00</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Premium Standard</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Raise the legal minimu</w:t>
            </w:r>
            <w:r w:rsidRPr="002F123F">
              <w:rPr>
                <w:color w:val="000000"/>
                <w:sz w:val="20"/>
                <w:lang w:eastAsia="en-GB"/>
              </w:rPr>
              <w:t>m</w:t>
            </w:r>
            <w:r w:rsidRPr="002F123F">
              <w:rPr>
                <w:color w:val="000000"/>
                <w:sz w:val="20"/>
                <w:szCs w:val="22"/>
                <w:lang w:eastAsia="en-GB"/>
              </w:rPr>
              <w:t xml:space="preserve"> </w:t>
            </w:r>
            <w:proofErr w:type="gramStart"/>
            <w:r w:rsidRPr="002F123F">
              <w:rPr>
                <w:color w:val="000000"/>
                <w:sz w:val="20"/>
                <w:szCs w:val="22"/>
                <w:lang w:eastAsia="en-GB"/>
              </w:rPr>
              <w:t xml:space="preserve">standard  </w:t>
            </w:r>
            <w:proofErr w:type="gramEnd"/>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1.00</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0.00</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Premium Standard</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Premium Standard</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0.52</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0.48</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Premium Standard</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Increase Compliance</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0.74</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0.26</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Premium Standard</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Extend best practice</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1.00</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0.00</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Increase Compliance</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Raise the legal minimu</w:t>
            </w:r>
            <w:r w:rsidRPr="002F123F">
              <w:rPr>
                <w:color w:val="000000"/>
                <w:sz w:val="20"/>
                <w:lang w:eastAsia="en-GB"/>
              </w:rPr>
              <w:t>m</w:t>
            </w:r>
            <w:r w:rsidRPr="002F123F">
              <w:rPr>
                <w:color w:val="000000"/>
                <w:sz w:val="20"/>
                <w:szCs w:val="22"/>
                <w:lang w:eastAsia="en-GB"/>
              </w:rPr>
              <w:t xml:space="preserve"> </w:t>
            </w:r>
            <w:proofErr w:type="gramStart"/>
            <w:r w:rsidRPr="002F123F">
              <w:rPr>
                <w:color w:val="000000"/>
                <w:sz w:val="20"/>
                <w:szCs w:val="22"/>
                <w:lang w:eastAsia="en-GB"/>
              </w:rPr>
              <w:t xml:space="preserve">standard  </w:t>
            </w:r>
            <w:proofErr w:type="gramEnd"/>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0.85</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0.15</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Increase Compliance</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Premium Standard</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0.67</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0.33</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Increase Compliance</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Increase Compliance</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0.85</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0.15</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Increase Compliance</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Extend best practice</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0.66</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0.34</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Extend best practice</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Raise the legal minimu</w:t>
            </w:r>
            <w:r w:rsidRPr="002F123F">
              <w:rPr>
                <w:color w:val="000000"/>
                <w:sz w:val="20"/>
                <w:lang w:eastAsia="en-GB"/>
              </w:rPr>
              <w:t>m</w:t>
            </w:r>
            <w:r w:rsidRPr="002F123F">
              <w:rPr>
                <w:color w:val="000000"/>
                <w:sz w:val="20"/>
                <w:szCs w:val="22"/>
                <w:lang w:eastAsia="en-GB"/>
              </w:rPr>
              <w:t xml:space="preserve"> </w:t>
            </w:r>
            <w:proofErr w:type="gramStart"/>
            <w:r w:rsidRPr="002F123F">
              <w:rPr>
                <w:color w:val="000000"/>
                <w:sz w:val="20"/>
                <w:szCs w:val="22"/>
                <w:lang w:eastAsia="en-GB"/>
              </w:rPr>
              <w:t xml:space="preserve">standard  </w:t>
            </w:r>
            <w:proofErr w:type="gramEnd"/>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1.00</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0.00</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Extend best practice</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Premium Standard</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1.00</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0.00</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Extend best practice</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Increase Compliance</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1.00</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0.00</w:t>
            </w:r>
          </w:p>
        </w:tc>
      </w:tr>
      <w:tr w:rsidR="005B3C36" w:rsidRPr="00A923CC">
        <w:trPr>
          <w:trHeight w:val="300"/>
        </w:trPr>
        <w:tc>
          <w:tcPr>
            <w:tcW w:w="3559"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Extend best practice</w:t>
            </w:r>
          </w:p>
        </w:tc>
        <w:tc>
          <w:tcPr>
            <w:tcW w:w="3260" w:type="dxa"/>
            <w:shd w:val="clear" w:color="auto" w:fill="auto"/>
            <w:noWrap/>
            <w:vAlign w:val="bottom"/>
          </w:tcPr>
          <w:p w:rsidR="005B3C36" w:rsidRPr="002F123F" w:rsidRDefault="005B3C36" w:rsidP="009D1CD5">
            <w:pPr>
              <w:spacing w:after="0"/>
              <w:rPr>
                <w:color w:val="000000"/>
                <w:sz w:val="20"/>
                <w:lang w:eastAsia="en-GB"/>
              </w:rPr>
            </w:pPr>
            <w:r w:rsidRPr="002F123F">
              <w:rPr>
                <w:color w:val="000000"/>
                <w:sz w:val="20"/>
                <w:szCs w:val="22"/>
                <w:lang w:eastAsia="en-GB"/>
              </w:rPr>
              <w:t>Extend best practice</w:t>
            </w:r>
          </w:p>
        </w:tc>
        <w:tc>
          <w:tcPr>
            <w:tcW w:w="1134"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0.84</w:t>
            </w:r>
          </w:p>
        </w:tc>
        <w:tc>
          <w:tcPr>
            <w:tcW w:w="1276" w:type="dxa"/>
            <w:shd w:val="clear" w:color="auto" w:fill="auto"/>
            <w:noWrap/>
            <w:vAlign w:val="bottom"/>
          </w:tcPr>
          <w:p w:rsidR="005B3C36" w:rsidRPr="002F123F" w:rsidRDefault="005B3C36" w:rsidP="009D1CD5">
            <w:pPr>
              <w:spacing w:after="0"/>
              <w:jc w:val="right"/>
              <w:rPr>
                <w:color w:val="000000"/>
                <w:sz w:val="20"/>
                <w:lang w:eastAsia="en-GB"/>
              </w:rPr>
            </w:pPr>
            <w:r w:rsidRPr="002F123F">
              <w:rPr>
                <w:color w:val="000000"/>
                <w:sz w:val="20"/>
                <w:szCs w:val="22"/>
                <w:lang w:eastAsia="en-GB"/>
              </w:rPr>
              <w:t>0.16</w:t>
            </w:r>
          </w:p>
        </w:tc>
      </w:tr>
    </w:tbl>
    <w:p w:rsidR="005B3C36" w:rsidRDefault="008A645D" w:rsidP="00E72FDA">
      <w:pPr>
        <w:spacing w:after="200"/>
        <w:rPr>
          <w:szCs w:val="17"/>
          <w:lang w:eastAsia="en-GB"/>
        </w:rPr>
      </w:pPr>
      <w:r>
        <w:rPr>
          <w:szCs w:val="17"/>
          <w:lang w:eastAsia="en-GB"/>
        </w:rPr>
        <w:t>Given this calibration of the belief network to the judgements of the experts, the network can be interrogated to identify the consequences of c</w:t>
      </w:r>
      <w:r w:rsidR="005B3C36">
        <w:rPr>
          <w:szCs w:val="17"/>
          <w:lang w:eastAsia="en-GB"/>
        </w:rPr>
        <w:t xml:space="preserve">hanges in both on and off farm standards </w:t>
      </w:r>
      <w:r>
        <w:rPr>
          <w:szCs w:val="17"/>
          <w:lang w:eastAsia="en-GB"/>
        </w:rPr>
        <w:t>for</w:t>
      </w:r>
      <w:r w:rsidR="00E66850">
        <w:rPr>
          <w:szCs w:val="17"/>
          <w:lang w:eastAsia="en-GB"/>
        </w:rPr>
        <w:t xml:space="preserve"> farm and </w:t>
      </w:r>
      <w:r w:rsidR="00392565">
        <w:rPr>
          <w:szCs w:val="17"/>
          <w:lang w:eastAsia="en-GB"/>
        </w:rPr>
        <w:t xml:space="preserve">chain </w:t>
      </w:r>
      <w:r w:rsidR="00E66850">
        <w:rPr>
          <w:szCs w:val="17"/>
          <w:lang w:eastAsia="en-GB"/>
        </w:rPr>
        <w:t>costs</w:t>
      </w:r>
      <w:r>
        <w:rPr>
          <w:szCs w:val="17"/>
          <w:lang w:eastAsia="en-GB"/>
        </w:rPr>
        <w:t xml:space="preserve">, as illustrated in Figure 7.  Here, </w:t>
      </w:r>
      <w:proofErr w:type="gramStart"/>
      <w:r>
        <w:rPr>
          <w:szCs w:val="17"/>
          <w:lang w:eastAsia="en-GB"/>
        </w:rPr>
        <w:t>the effects of increased compliance, given strong standards both at the farm and off farm level, are shown by setting the respective levels of each ‘node’ at 100</w:t>
      </w:r>
      <w:proofErr w:type="gramEnd"/>
    </w:p>
    <w:p w:rsidR="005B3C36" w:rsidRPr="008A645D" w:rsidRDefault="008A645D" w:rsidP="00E72FDA">
      <w:pPr>
        <w:spacing w:after="200"/>
        <w:rPr>
          <w:b/>
          <w:szCs w:val="17"/>
          <w:lang w:eastAsia="en-GB"/>
        </w:rPr>
      </w:pPr>
      <w:r>
        <w:rPr>
          <w:b/>
          <w:szCs w:val="17"/>
          <w:lang w:eastAsia="en-GB"/>
        </w:rPr>
        <w:t>Figure 7:</w:t>
      </w:r>
      <w:r>
        <w:rPr>
          <w:b/>
          <w:szCs w:val="17"/>
          <w:lang w:eastAsia="en-GB"/>
        </w:rPr>
        <w:tab/>
        <w:t xml:space="preserve">Consequences of Improved standard compliance, given strong standards. </w:t>
      </w:r>
    </w:p>
    <w:p w:rsidR="005B3C36" w:rsidRDefault="005B3C36" w:rsidP="00E72FDA">
      <w:pPr>
        <w:spacing w:after="200"/>
        <w:rPr>
          <w:szCs w:val="17"/>
          <w:lang w:eastAsia="en-GB"/>
        </w:rPr>
      </w:pPr>
    </w:p>
    <w:p w:rsidR="00E72FDA" w:rsidRDefault="00FC2175" w:rsidP="004C06C7">
      <w:pPr>
        <w:spacing w:after="200"/>
        <w:rPr>
          <w:szCs w:val="17"/>
          <w:lang w:eastAsia="en-GB"/>
        </w:rPr>
      </w:pPr>
      <w:r>
        <w:rPr>
          <w:noProof/>
          <w:szCs w:val="17"/>
          <w:lang w:val="en-US" w:eastAsia="en-US"/>
        </w:rPr>
        <w:drawing>
          <wp:inline distT="0" distB="0" distL="0" distR="0">
            <wp:extent cx="5760720" cy="4331086"/>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60720" cy="4331086"/>
                    </a:xfrm>
                    <a:prstGeom prst="rect">
                      <a:avLst/>
                    </a:prstGeom>
                    <a:noFill/>
                    <a:ln w="9525">
                      <a:noFill/>
                      <a:miter lim="800000"/>
                      <a:headEnd/>
                      <a:tailEnd/>
                    </a:ln>
                  </pic:spPr>
                </pic:pic>
              </a:graphicData>
            </a:graphic>
          </wp:inline>
        </w:drawing>
      </w:r>
    </w:p>
    <w:p w:rsidR="008D74BA" w:rsidRDefault="00AD1A37" w:rsidP="008D74BA">
      <w:pPr>
        <w:spacing w:after="200"/>
        <w:rPr>
          <w:szCs w:val="17"/>
          <w:lang w:eastAsia="en-GB"/>
        </w:rPr>
      </w:pPr>
      <w:r>
        <w:rPr>
          <w:szCs w:val="17"/>
          <w:lang w:eastAsia="en-GB"/>
        </w:rPr>
        <w:t>In comparison with the base (Figure 6), this illustration shows that these changes increase the proportion for ‘substantial effective welfare improvement’ rather marginally, from 82.6% to 85%, while reducing both farm and chain net margins (the</w:t>
      </w:r>
      <w:r w:rsidR="00271832">
        <w:rPr>
          <w:szCs w:val="17"/>
          <w:lang w:eastAsia="en-GB"/>
        </w:rPr>
        <w:t xml:space="preserve"> ‘farm net margins reduced’ increasing from 35.3 to 38%, and ‘chain net margins reduced’ from 29.2 to 36.2%), mostly because of increased farm and chain costs, with the ‘increase costs’ consequence changing from 79.5 to 94.1% for farms, and from 55.1 to 90% for the chain).</w:t>
      </w:r>
    </w:p>
    <w:p w:rsidR="008D74BA" w:rsidRDefault="008D74BA" w:rsidP="008D74BA">
      <w:pPr>
        <w:spacing w:after="200"/>
        <w:rPr>
          <w:szCs w:val="17"/>
          <w:lang w:eastAsia="en-GB"/>
        </w:rPr>
      </w:pPr>
      <w:r>
        <w:rPr>
          <w:szCs w:val="17"/>
          <w:lang w:eastAsia="en-GB"/>
        </w:rPr>
        <w:t>Similar ‘experiments’ with other possible changes in the supply chain show very similar results – as might be expected since the calibrated network reflects the ‘consensus’ of the expert judgements.  However, we do not explore these experiments further here since the initial calibration itself can only be regarded as illustrative rather than especially reliable. More resources, wider consultation and more detailed analysis of the belief structures are needed to extend this approach to analysis of the consequences of improved standards throughout the EU marketing chains, especially as the judgements are likely to be strongly conditional on both the species and the country (region) being considered.</w:t>
      </w:r>
    </w:p>
    <w:p w:rsidR="00B11D51" w:rsidRDefault="00BB546D" w:rsidP="00BB546D">
      <w:pPr>
        <w:pStyle w:val="TOCHeading"/>
        <w:rPr>
          <w:rFonts w:eastAsia="Times New Roman"/>
        </w:rPr>
      </w:pPr>
      <w:r>
        <w:rPr>
          <w:rFonts w:eastAsia="Times New Roman"/>
        </w:rPr>
        <w:t>Summary and Conclusions</w:t>
      </w:r>
    </w:p>
    <w:p w:rsidR="007C1E22" w:rsidRPr="006F59A4" w:rsidRDefault="007C1E22" w:rsidP="007C1E22">
      <w:pPr>
        <w:rPr>
          <w:color w:val="000000"/>
          <w:lang w:val="pl-PL" w:eastAsia="pl-PL"/>
        </w:rPr>
      </w:pPr>
      <w:r w:rsidRPr="006F59A4">
        <w:rPr>
          <w:color w:val="000000"/>
          <w:lang w:val="pl-PL" w:eastAsia="pl-PL"/>
        </w:rPr>
        <w:t xml:space="preserve">Our analysis of the consequences of improved standards for animal welfare on the supply (marketing) chains in the EU is based on socio-economic principles, and follows the logic of the marketing chain. The supply conditions for animal welfare are identified in terms of a production  possibility frontier and the demand conditions in terms of both society’s regulations and legislation governing acceptable minimum standards and of consumers’ willingness to pay for improved animal welfare products. </w:t>
      </w:r>
    </w:p>
    <w:p w:rsidR="007C1E22" w:rsidRPr="006F59A4" w:rsidRDefault="007C1E22" w:rsidP="007C1E22">
      <w:pPr>
        <w:rPr>
          <w:color w:val="000000"/>
          <w:lang w:val="pl-PL" w:eastAsia="pl-PL"/>
        </w:rPr>
      </w:pPr>
      <w:r w:rsidRPr="006F59A4">
        <w:rPr>
          <w:color w:val="000000"/>
          <w:lang w:val="pl-PL" w:eastAsia="pl-PL"/>
        </w:rPr>
        <w:t xml:space="preserve">The production possibility frontier approach seperates the relationship between improved animal welfare and more efficient animal production on the supply side into two conceptually different issues: i) the inevitable trade-off between improved animal welfare and costs of production for efficient firms and businesses already operating with best possible practices; ii) the potential for improving both animal welfare and production efficiency, either by a) improving technologies through adoption of new techniques and practices not presently incorporated in best practice, or b) by encouraging less efficient and animal welfare freindly firms to adopt best practice and improve in both dimensions. </w:t>
      </w:r>
    </w:p>
    <w:p w:rsidR="007C1E22" w:rsidRPr="006F59A4" w:rsidRDefault="007C1E22" w:rsidP="007C1E22">
      <w:pPr>
        <w:pStyle w:val="TOCHeading"/>
        <w:jc w:val="both"/>
        <w:rPr>
          <w:b w:val="0"/>
        </w:rPr>
      </w:pPr>
      <w:r w:rsidRPr="006F59A4">
        <w:rPr>
          <w:b w:val="0"/>
        </w:rPr>
        <w:t>The clear implications of this ‘supply side’ analysis of the options for improving animal welfare are two-fold:</w:t>
      </w:r>
    </w:p>
    <w:p w:rsidR="007C1E22" w:rsidRPr="006F59A4" w:rsidRDefault="007C1E22" w:rsidP="007C1E22">
      <w:pPr>
        <w:pStyle w:val="ListParagraph"/>
        <w:numPr>
          <w:ilvl w:val="0"/>
          <w:numId w:val="15"/>
        </w:numPr>
        <w:spacing w:after="0" w:line="240" w:lineRule="auto"/>
        <w:jc w:val="both"/>
        <w:rPr>
          <w:rFonts w:ascii="Arial" w:hAnsi="Arial"/>
          <w:i/>
        </w:rPr>
      </w:pPr>
      <w:r w:rsidRPr="006F59A4">
        <w:rPr>
          <w:rFonts w:ascii="Arial" w:hAnsi="Arial"/>
          <w:i/>
        </w:rPr>
        <w:t>Public (government) support and assistance should be directed towards helping the farmers and the supply chain to be as effective and efficient as possible – through sponsoring R&amp;D (both on the conditions improving animal welfare and on the practices which enable these conditions to be met); providing information, expertise and training for the chain participants, including farmers on best practice. All of these initiatives should, however, recognise that the processes of economic competition are also necessary to drive the system towards the best possible practice. Furthermore, there is no simple analysis to determine where the priorities should be amongst this list – these will depend on the specific conditions and circumstances in the relevant chains.</w:t>
      </w:r>
    </w:p>
    <w:p w:rsidR="007C1E22" w:rsidRPr="006F59A4" w:rsidRDefault="007C1E22" w:rsidP="007C1E22">
      <w:pPr>
        <w:pStyle w:val="ListParagraph"/>
        <w:numPr>
          <w:ilvl w:val="0"/>
          <w:numId w:val="15"/>
        </w:numPr>
        <w:spacing w:after="0" w:line="240" w:lineRule="auto"/>
        <w:jc w:val="both"/>
        <w:rPr>
          <w:rFonts w:ascii="Arial" w:hAnsi="Arial"/>
          <w:i/>
        </w:rPr>
      </w:pPr>
      <w:r w:rsidRPr="006F59A4">
        <w:rPr>
          <w:rFonts w:ascii="Arial" w:hAnsi="Arial"/>
          <w:i/>
        </w:rPr>
        <w:t>Over and above encouragement and assistance to the sector (farmers and chain) so that it is able to operate with best possible practices (i.e. on the frontier), it is then a matter of social (public) choice about where to be on the frontier – what trade-offs should be made between animal productivity and animal welfare, and thus what incentives and/or controls to provide for the sector to encourage and persuade it to respond appropriately to civic and customer requirements and demands.</w:t>
      </w:r>
    </w:p>
    <w:p w:rsidR="007C1E22" w:rsidRDefault="007C1E22" w:rsidP="007C1E22">
      <w:pPr>
        <w:spacing w:after="0"/>
      </w:pPr>
    </w:p>
    <w:p w:rsidR="007C1E22" w:rsidRDefault="007C1E22" w:rsidP="007C1E22">
      <w:r w:rsidRPr="00034B21">
        <w:t>On</w:t>
      </w:r>
      <w:r>
        <w:t xml:space="preserve"> the demand side, our analysis supports and explains the observations of the previous Econ Welfare deliverables – that there is an evolving mixture of government legislation/regulation of minimum animal welfare standards and voluntary (private) initiatives providing different consumer segments with improved animal welfare products. Furthermore, there is an inevitable </w:t>
      </w:r>
      <w:r>
        <w:rPr>
          <w:i/>
        </w:rPr>
        <w:t>indefiniteness</w:t>
      </w:r>
      <w:r>
        <w:t xml:space="preserve"> in social judgments about animal welfare which reflect the </w:t>
      </w:r>
      <w:r w:rsidRPr="00A3742D">
        <w:t>diverse valuations different people attach to animal welfare levels, based on the range of socio-economic characteristics - ethical stance, interest, awareness, susceptibility to propaganda, religious affiliation, sentiment, ignorance, imagination, income, experience, and so forth</w:t>
      </w:r>
      <w:r>
        <w:t xml:space="preserve">. </w:t>
      </w:r>
      <w:r w:rsidRPr="00A3742D">
        <w:t xml:space="preserve">In practice, only </w:t>
      </w:r>
      <w:r w:rsidR="00AA3292">
        <w:t>a</w:t>
      </w:r>
      <w:r w:rsidRPr="00A3742D">
        <w:t xml:space="preserve"> minimum level of animal welfare </w:t>
      </w:r>
      <w:r w:rsidR="00AA3292">
        <w:t>can be sufficiently commonly accepted to become universal</w:t>
      </w:r>
      <w:r>
        <w:t xml:space="preserve"> – </w:t>
      </w:r>
      <w:r w:rsidR="00AA3292">
        <w:t xml:space="preserve">as </w:t>
      </w:r>
      <w:r>
        <w:t>the regulated/legislated minimum standard</w:t>
      </w:r>
      <w:r w:rsidRPr="00A3742D">
        <w:t xml:space="preserve">. </w:t>
      </w:r>
    </w:p>
    <w:p w:rsidR="007C1E22" w:rsidRDefault="007C1E22" w:rsidP="007C1E22">
      <w:r w:rsidRPr="00A3742D">
        <w:t>Above this (continually re-deliberated and negotiated) minimum, improved animal welfare becomes a matter of individual taste, judgment and preference, to be encouraged or not through consumption of animal welfare friendly products.</w:t>
      </w:r>
      <w:r>
        <w:t xml:space="preserve"> Our analysis further identifies what is commonly thought of as the </w:t>
      </w:r>
      <w:r>
        <w:rPr>
          <w:i/>
        </w:rPr>
        <w:t>public good</w:t>
      </w:r>
      <w:r>
        <w:t xml:space="preserve"> aspect of animal welfare as a </w:t>
      </w:r>
      <w:r>
        <w:rPr>
          <w:i/>
        </w:rPr>
        <w:t>free-rider</w:t>
      </w:r>
      <w:r>
        <w:t xml:space="preserve"> problem associated with </w:t>
      </w:r>
      <w:r w:rsidRPr="00DE69A0">
        <w:rPr>
          <w:i/>
        </w:rPr>
        <w:t>psychological</w:t>
      </w:r>
      <w:r>
        <w:t xml:space="preserve"> </w:t>
      </w:r>
      <w:r>
        <w:rPr>
          <w:i/>
        </w:rPr>
        <w:t>externalities</w:t>
      </w:r>
      <w:r>
        <w:t xml:space="preserve"> of consumption – my consumption of animal products may cause you anxiety (or worse) because of the treatment of the animals used to produce my products. </w:t>
      </w:r>
      <w:r w:rsidRPr="00DE69A0">
        <w:t>My consumption of products from poor animal welfare production systems helps to perpetuate these poor systems, and adversely affects others who value animal welfare more highly than I do. If I can be persuaded not to consume these products, these other people will feel better off. I, too, might be more prepared to switch my consumption towards more animal welfare friendly products (even if at higher cost) if I could be sure that other people would also do so. But if not, there is a strong temptation for me to consider that my own efforts in favour of better animal welfare are too small to make any substantial difference, and hence not worth my effort.</w:t>
      </w:r>
      <w:r>
        <w:t xml:space="preserve">  It is the free-rider </w:t>
      </w:r>
      <w:proofErr w:type="gramStart"/>
      <w:r>
        <w:t>problem which</w:t>
      </w:r>
      <w:proofErr w:type="gramEnd"/>
      <w:r>
        <w:t xml:space="preserve"> can, in principle, lead to market failure, and justify government intervention above and beyond the statutory minimum animal welfare requirements.</w:t>
      </w:r>
    </w:p>
    <w:p w:rsidR="007C1E22" w:rsidRDefault="007C1E22" w:rsidP="007C1E22">
      <w:r>
        <w:t xml:space="preserve">There is an apparently substantial gap between citizen attitudes to and preferences for improved animal welfare, as revealed by opinion polls and surveys, and consumers’ willingness to pay for improved welfare products (either revealed by contingent valuation and choice experiment analysis, or by the market shares of animal welfare friendly products. This gap suggests that the free-rider problem could be very substantial.  However, our analysis of the potential reasons for this the citizen/consumer gap, and hence of the importance of the free-rider problem, indicates that the free-rider problem is unlikely to be substantial in practice. Furthermore, it is likely that public and chain education, improved information and welfare quality </w:t>
      </w:r>
      <w:proofErr w:type="spellStart"/>
      <w:r>
        <w:t>labeling</w:t>
      </w:r>
      <w:proofErr w:type="spellEnd"/>
      <w:r>
        <w:t xml:space="preserve"> and validation will all be progressively effective in further reducing the gap between citizen preference and consumer behaviour. In any event, there will always be a gap between opinion polls, or even more sophisticated contingent valuation surveys (what people say), and actual consumer behaviour (what people do), simply because polls and surveys cannot possibly replicate real world conditions and circumstances. The implication is that opinion polls and surveys need to be treated with caution as reliable indicators of legitimate social choice.</w:t>
      </w:r>
    </w:p>
    <w:p w:rsidR="007C1E22" w:rsidRDefault="00D44C3E" w:rsidP="007C1E22">
      <w:r>
        <w:t>Some</w:t>
      </w:r>
      <w:r w:rsidR="007C1E22">
        <w:t xml:space="preserve"> will react strongly against this analysis, arguing that animal welfare is a matter of ethics and morals above and beyond any commercial or self-interested consumer interest, and that it is precisely this </w:t>
      </w:r>
      <w:proofErr w:type="gramStart"/>
      <w:r w:rsidR="007C1E22">
        <w:t>gap which</w:t>
      </w:r>
      <w:proofErr w:type="gramEnd"/>
      <w:r w:rsidR="007C1E22">
        <w:t xml:space="preserve"> is identified between consumer and citizens. If so, then progress towards improved animal welfare needs to be achieved through a deliberative (political) process. The practice of political deliberation mimics that of the market – pitting advocates for better animal welfare (the demand side) against vested interests in the </w:t>
      </w:r>
      <w:r w:rsidR="007C1E22">
        <w:rPr>
          <w:i/>
        </w:rPr>
        <w:t>status quo</w:t>
      </w:r>
      <w:r w:rsidR="007C1E22">
        <w:t xml:space="preserve"> (the supply side). Citizen delegation of responsibility and authority to government for animal welfare conditions does not abdicate either citizens or government from accountability. The deliberative (political) process has to aggregate and average widely diverse citizen opinions about what levels of animal welfare to aim for, and also has to determine who will be made to bear any necessary costs. In addition, this process also needs to be aware of the unintended consequences of its intervention and regulation.</w:t>
      </w:r>
    </w:p>
    <w:p w:rsidR="007C1E22" w:rsidRDefault="007C1E22" w:rsidP="007C1E22">
      <w:pPr>
        <w:rPr>
          <w:rFonts w:cs="AdvTimes"/>
          <w:szCs w:val="18"/>
        </w:rPr>
      </w:pPr>
      <w:r w:rsidRPr="000E58D5">
        <w:rPr>
          <w:rFonts w:cs="AdvTimes"/>
          <w:szCs w:val="18"/>
        </w:rPr>
        <w:t>In short, the apparent contest between a legislated approach and a market approach is neither conceptually nor actually a real distinction – both exist and will be pursued in tandem</w:t>
      </w:r>
      <w:r>
        <w:rPr>
          <w:rFonts w:cs="AdvTimes"/>
          <w:szCs w:val="18"/>
        </w:rPr>
        <w:t>. Both involve more or less deliberate assessments of the costs and benefits of change and further improvement.</w:t>
      </w:r>
      <w:r w:rsidRPr="000E58D5">
        <w:rPr>
          <w:rFonts w:cs="AdvTimes"/>
          <w:szCs w:val="18"/>
        </w:rPr>
        <w:t xml:space="preserve"> </w:t>
      </w:r>
      <w:r>
        <w:rPr>
          <w:rFonts w:cs="AdvTimes"/>
          <w:szCs w:val="18"/>
        </w:rPr>
        <w:t>F</w:t>
      </w:r>
      <w:r w:rsidRPr="000E58D5">
        <w:rPr>
          <w:rFonts w:cs="AdvTimes"/>
          <w:szCs w:val="18"/>
        </w:rPr>
        <w:t>urthermore (as this research programme as extensively documented) the evolution of the governed market will produce hybrids between the two as public-private partnerships, cooperation and collaboration.  There is every reason to suppose that these developments will continue, and that ‘public’ policy and ‘intervention’ should seek to promote and assist these developments.</w:t>
      </w:r>
      <w:r>
        <w:rPr>
          <w:rFonts w:cs="AdvTimes"/>
          <w:szCs w:val="18"/>
        </w:rPr>
        <w:t xml:space="preserve"> Both consumer and citizen need reliable and disinterested expertise to inform them of animal welfare conditions and consequences of improvements, but neither can afford nor allow abdication of ultimate responsibility for our animal welfare conditions, either to established commercial interests or to partisan advocates of intense preferences and moral judgments.</w:t>
      </w:r>
    </w:p>
    <w:p w:rsidR="007C1E22" w:rsidRDefault="007C1E22" w:rsidP="007C1E22">
      <w:pPr>
        <w:rPr>
          <w:rFonts w:cs="AdvTimes"/>
          <w:szCs w:val="18"/>
        </w:rPr>
      </w:pPr>
      <w:r>
        <w:rPr>
          <w:rFonts w:cs="AdvTimes"/>
          <w:szCs w:val="18"/>
        </w:rPr>
        <w:t>Consideration of possible supply chain barriers to further improvement of animal welfare strongly suggests that animal welfare needs to be integrated and marketed with other safety and quality attributes of animal products, and to be associated with specific brand development. Attempts to treat animal welfare in isolation from other attributes runs strong risks of both consumer and chain over-load.  Similarly, improvement in the general capacity of food chains to match efficient supplies with effective market demands (through better information, third-party disinterested validation, and public and chain education) should include animal welfare considerations, rather than seek to isolate animal welfare from other important health, safety and quality attributes of the food chain.</w:t>
      </w:r>
    </w:p>
    <w:p w:rsidR="007C1E22" w:rsidRDefault="007C1E22" w:rsidP="007C1E22">
      <w:pPr>
        <w:rPr>
          <w:rFonts w:cs="AdvTimes"/>
          <w:szCs w:val="18"/>
        </w:rPr>
      </w:pPr>
      <w:r>
        <w:rPr>
          <w:rFonts w:cs="AdvTimes"/>
          <w:szCs w:val="18"/>
        </w:rPr>
        <w:t>Finally, our analysis has included an illustration of a potential approach to capture chain expert judgments of the consequences of animal welfare improvements.</w:t>
      </w:r>
      <w:r w:rsidRPr="009053C8">
        <w:rPr>
          <w:color w:val="000000"/>
        </w:rPr>
        <w:t xml:space="preserve"> Against</w:t>
      </w:r>
      <w:r>
        <w:rPr>
          <w:color w:val="000000"/>
        </w:rPr>
        <w:t xml:space="preserve"> specified</w:t>
      </w:r>
      <w:r w:rsidRPr="009053C8">
        <w:rPr>
          <w:color w:val="000000"/>
        </w:rPr>
        <w:t xml:space="preserve"> background conditions</w:t>
      </w:r>
      <w:r>
        <w:rPr>
          <w:color w:val="000000"/>
        </w:rPr>
        <w:t xml:space="preserve"> of current standards and market demand</w:t>
      </w:r>
      <w:r w:rsidRPr="009053C8">
        <w:rPr>
          <w:color w:val="000000"/>
        </w:rPr>
        <w:t>, our experts have responded about equally amongst the</w:t>
      </w:r>
      <w:r>
        <w:rPr>
          <w:color w:val="000000"/>
        </w:rPr>
        <w:t xml:space="preserve"> four</w:t>
      </w:r>
      <w:r w:rsidRPr="009053C8">
        <w:rPr>
          <w:color w:val="000000"/>
        </w:rPr>
        <w:t xml:space="preserve"> options </w:t>
      </w:r>
      <w:r>
        <w:rPr>
          <w:color w:val="000000"/>
        </w:rPr>
        <w:t>for improving on-farm standards.</w:t>
      </w:r>
      <w:r w:rsidRPr="009053C8">
        <w:rPr>
          <w:color w:val="000000"/>
        </w:rPr>
        <w:t xml:space="preserve"> </w:t>
      </w:r>
      <w:r>
        <w:rPr>
          <w:color w:val="000000"/>
        </w:rPr>
        <w:t>They</w:t>
      </w:r>
      <w:r w:rsidRPr="009053C8">
        <w:rPr>
          <w:color w:val="000000"/>
        </w:rPr>
        <w:t xml:space="preserve"> tend to favour improving compliance with existing standards for the of-farm (marketing chain) over increasing minimum standards, introducing (or extending) premium standards, or extending best practice. These changes are generally thought to increase both farm and chain costs (80% and 55% respectively), though also to be capable of improving returns (benefits) by 23 and 72% respectively.  The consequential effects of these changes on farm and chain net margins (given the background of market demand</w:t>
      </w:r>
      <w:proofErr w:type="gramStart"/>
      <w:r w:rsidRPr="009053C8">
        <w:rPr>
          <w:color w:val="000000"/>
        </w:rPr>
        <w:t>),</w:t>
      </w:r>
      <w:proofErr w:type="gramEnd"/>
      <w:r>
        <w:rPr>
          <w:color w:val="000000"/>
        </w:rPr>
        <w:t xml:space="preserve"> are shown to be evenly spread </w:t>
      </w:r>
      <w:r w:rsidRPr="009053C8">
        <w:rPr>
          <w:color w:val="000000"/>
        </w:rPr>
        <w:t>between reducing, no change or improving margins. However, the changes are expected to lead to more concentrated farm and chain structures on balance, with a tendency towards reduced outputs (throughputs).</w:t>
      </w:r>
      <w:r>
        <w:rPr>
          <w:rFonts w:cs="AdvTimes"/>
          <w:szCs w:val="18"/>
        </w:rPr>
        <w:t xml:space="preserve"> </w:t>
      </w:r>
    </w:p>
    <w:p w:rsidR="008D74BA" w:rsidRPr="007C1E22" w:rsidRDefault="007C1E22" w:rsidP="007C1E22">
      <w:pPr>
        <w:rPr>
          <w:rFonts w:cs="AdvTimes"/>
          <w:szCs w:val="18"/>
        </w:rPr>
      </w:pPr>
      <w:r>
        <w:rPr>
          <w:szCs w:val="17"/>
          <w:lang w:eastAsia="en-GB"/>
        </w:rPr>
        <w:t>In comparison with this</w:t>
      </w:r>
      <w:r w:rsidRPr="009053C8">
        <w:rPr>
          <w:szCs w:val="17"/>
          <w:lang w:eastAsia="en-GB"/>
        </w:rPr>
        <w:t xml:space="preserve"> base, </w:t>
      </w:r>
      <w:r>
        <w:rPr>
          <w:szCs w:val="17"/>
          <w:lang w:eastAsia="en-GB"/>
        </w:rPr>
        <w:t>we illustrate the potential effects of increasing compliance with strong on-farm and off-farm standards.</w:t>
      </w:r>
      <w:r w:rsidRPr="009053C8">
        <w:rPr>
          <w:szCs w:val="17"/>
          <w:lang w:eastAsia="en-GB"/>
        </w:rPr>
        <w:t xml:space="preserve"> </w:t>
      </w:r>
      <w:r>
        <w:rPr>
          <w:szCs w:val="17"/>
          <w:lang w:eastAsia="en-GB"/>
        </w:rPr>
        <w:t xml:space="preserve">Our </w:t>
      </w:r>
      <w:r w:rsidRPr="009053C8">
        <w:rPr>
          <w:szCs w:val="17"/>
          <w:lang w:eastAsia="en-GB"/>
        </w:rPr>
        <w:t xml:space="preserve">illustration shows that these changes increase the </w:t>
      </w:r>
      <w:r>
        <w:rPr>
          <w:szCs w:val="17"/>
          <w:lang w:eastAsia="en-GB"/>
        </w:rPr>
        <w:t>balance towards</w:t>
      </w:r>
      <w:r w:rsidRPr="009053C8">
        <w:rPr>
          <w:szCs w:val="17"/>
          <w:lang w:eastAsia="en-GB"/>
        </w:rPr>
        <w:t xml:space="preserve"> ‘substantial effective welfare improvement’ rather marginally, from 82.6% to 85%, while reducing both farm and chain net margins (the ‘farm net margins reduced’ increasing from 35.3 to 38%, and ‘chain net margins reduced’ from 29.2 to 36.2%), mostly because of increased farm and chain costs, with the ‘increase costs’ consequence changing from 79.5 to 94.1% for farms, and from 55.1 to 90% for the chain).</w:t>
      </w:r>
      <w:r w:rsidR="00483D2C">
        <w:rPr>
          <w:color w:val="000000"/>
          <w:lang w:val="pl-PL" w:eastAsia="pl-PL"/>
        </w:rPr>
        <w:t xml:space="preserve"> </w:t>
      </w:r>
      <w:r w:rsidR="001B1132">
        <w:rPr>
          <w:color w:val="000000"/>
          <w:lang w:val="pl-PL" w:eastAsia="pl-PL"/>
        </w:rPr>
        <w:t xml:space="preserve"> </w:t>
      </w:r>
    </w:p>
    <w:p w:rsidR="007527A2" w:rsidRDefault="00A518EC" w:rsidP="00635B09">
      <w:pPr>
        <w:widowControl w:val="0"/>
        <w:autoSpaceDE w:val="0"/>
        <w:autoSpaceDN w:val="0"/>
        <w:adjustRightInd w:val="0"/>
        <w:spacing w:after="200"/>
        <w:rPr>
          <w:rFonts w:eastAsiaTheme="minorHAnsi" w:cs="AdvPSA88A"/>
          <w:szCs w:val="20"/>
          <w:lang w:val="en-US" w:eastAsia="en-US"/>
        </w:rPr>
      </w:pPr>
      <w:r>
        <w:rPr>
          <w:rFonts w:eastAsiaTheme="minorHAnsi" w:cs="AdvPSA88A"/>
          <w:noProof/>
          <w:szCs w:val="20"/>
          <w:lang w:val="en-US" w:eastAsia="en-US"/>
        </w:rPr>
        <w:pict>
          <v:group id="_x0000_s1048" style="position:absolute;left:0;text-align:left;margin-left:6pt;margin-top:38.2pt;width:433.5pt;height:210.1pt;z-index:251664384" coordorigin="1407,1" coordsize="8670,4202" wrapcoords="16779 0 5829 0 5829 1234 4708 1697 3923 2160 3923 2468 1756 2622 1606 2700 1606 7405 971 8640 411 9488 373 9797 822 9874 1046 11108 1158 12342 1606 14811 1606 18822 3662 19671 4334 19748 4820 21214 4858 21214 15957 21214 15994 20905 17078 19748 17750 19671 20254 18745 20254 14811 20478 13500 21525 11802 21487 11725 20815 11108 20777 9874 20628 8331 20366 7482 20254 2622 20105 2545 17825 2468 16928 0 16779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alt="NapolitinoVicious.gif" style="position:absolute;left:1407;top:1;width:4368;height:4195;visibility:visible;mso-wrap-distance-left:9pt;mso-wrap-distance-top:0;mso-wrap-distance-right:9.08pt;mso-wrap-distance-bottom:.24pt;mso-position-horizontal:absolute;mso-position-horizontal-relative:text;mso-position-vertical:absolute;mso-position-vertical-relative:text" wrapcoords="-198 0 -198 21394 21600 21394 21600 0 -198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">
              <v:imagedata r:id="rId15" o:title=""/>
              <o:lock v:ext="edit" aspectratio="f"/>
            </v:shape>
            <v:shape id="_x0000_s1047" type="#_x0000_t75" alt="NapolitinoVirtuous.gif" style="position:absolute;left:5843;top:8;width:4234;height:4195;visibility:visible;mso-wrap-distance-left:9pt;mso-wrap-distance-top:0;mso-wrap-distance-right:9.2pt;mso-wrap-distance-bottom:.24pt;mso-position-horizontal:absolute;mso-position-horizontal-relative:text;mso-position-vertical:absolute;mso-position-vertical-relative:text" wrapcoords="-204 0 -204 21394 21661 21394 21661 0 -204 0" o:gfxdata="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">
              <v:imagedata r:id="rId16" o:title=""/>
              <o:lock v:ext="edit" aspectratio="f"/>
            </v:shape>
            <w10:wrap type="tight"/>
          </v:group>
        </w:pict>
      </w:r>
      <w:r w:rsidR="001E65B0">
        <w:rPr>
          <w:color w:val="000000"/>
          <w:lang w:val="pl-PL" w:eastAsia="pl-PL"/>
        </w:rPr>
        <w:t xml:space="preserve">Napolitano </w:t>
      </w:r>
      <w:r w:rsidR="001E65B0">
        <w:rPr>
          <w:i/>
          <w:color w:val="000000"/>
          <w:lang w:val="pl-PL" w:eastAsia="pl-PL"/>
        </w:rPr>
        <w:t>et al.</w:t>
      </w:r>
      <w:r w:rsidR="001E65B0">
        <w:rPr>
          <w:color w:val="000000"/>
          <w:lang w:val="pl-PL" w:eastAsia="pl-PL"/>
        </w:rPr>
        <w:t xml:space="preserve"> 2010, </w:t>
      </w:r>
      <w:r w:rsidR="007527A2">
        <w:rPr>
          <w:rFonts w:eastAsiaTheme="minorHAnsi" w:cs="AdvPSA88A"/>
          <w:szCs w:val="20"/>
          <w:lang w:val="en-US" w:eastAsia="en-US"/>
        </w:rPr>
        <w:t>describe and document a set of processes through which food supply chains can be described as having moved from what they describe as a vicious circle (Figure 8) towards a more virtuous circle (Figure 9).</w:t>
      </w:r>
    </w:p>
    <w:p w:rsidR="007F2420" w:rsidRDefault="007F2420" w:rsidP="00635B09">
      <w:pPr>
        <w:widowControl w:val="0"/>
        <w:autoSpaceDE w:val="0"/>
        <w:autoSpaceDN w:val="0"/>
        <w:adjustRightInd w:val="0"/>
        <w:spacing w:after="200"/>
        <w:rPr>
          <w:rFonts w:eastAsiaTheme="minorHAnsi" w:cs="AdvPSA88A"/>
          <w:szCs w:val="20"/>
          <w:lang w:val="en-US" w:eastAsia="en-US"/>
        </w:rPr>
      </w:pPr>
    </w:p>
    <w:p w:rsidR="007F2420" w:rsidRDefault="007F2420" w:rsidP="00635B09">
      <w:pPr>
        <w:widowControl w:val="0"/>
        <w:autoSpaceDE w:val="0"/>
        <w:autoSpaceDN w:val="0"/>
        <w:adjustRightInd w:val="0"/>
        <w:spacing w:after="200"/>
        <w:rPr>
          <w:rFonts w:eastAsiaTheme="minorHAnsi" w:cs="AdvPSA88A"/>
          <w:szCs w:val="20"/>
          <w:lang w:val="en-US" w:eastAsia="en-US"/>
        </w:rPr>
      </w:pPr>
    </w:p>
    <w:p w:rsidR="007F2420" w:rsidRDefault="007F2420" w:rsidP="00635B09">
      <w:pPr>
        <w:widowControl w:val="0"/>
        <w:autoSpaceDE w:val="0"/>
        <w:autoSpaceDN w:val="0"/>
        <w:adjustRightInd w:val="0"/>
        <w:spacing w:after="200"/>
        <w:rPr>
          <w:rFonts w:eastAsiaTheme="minorHAnsi" w:cs="AdvPSA88A"/>
          <w:szCs w:val="20"/>
          <w:lang w:val="en-US" w:eastAsia="en-US"/>
        </w:rPr>
      </w:pPr>
    </w:p>
    <w:p w:rsidR="007F2420" w:rsidRDefault="007F2420" w:rsidP="00635B09">
      <w:pPr>
        <w:widowControl w:val="0"/>
        <w:autoSpaceDE w:val="0"/>
        <w:autoSpaceDN w:val="0"/>
        <w:adjustRightInd w:val="0"/>
        <w:spacing w:after="200"/>
        <w:rPr>
          <w:rFonts w:eastAsiaTheme="minorHAnsi" w:cs="AdvPSA88A"/>
          <w:szCs w:val="20"/>
          <w:lang w:val="en-US" w:eastAsia="en-US"/>
        </w:rPr>
      </w:pPr>
    </w:p>
    <w:p w:rsidR="007F2420" w:rsidRDefault="007F2420" w:rsidP="00635B09">
      <w:pPr>
        <w:widowControl w:val="0"/>
        <w:autoSpaceDE w:val="0"/>
        <w:autoSpaceDN w:val="0"/>
        <w:adjustRightInd w:val="0"/>
        <w:spacing w:after="200"/>
        <w:rPr>
          <w:rFonts w:eastAsiaTheme="minorHAnsi" w:cs="AdvPSA88A"/>
          <w:szCs w:val="20"/>
          <w:lang w:val="en-US" w:eastAsia="en-US"/>
        </w:rPr>
      </w:pPr>
    </w:p>
    <w:p w:rsidR="007F2420" w:rsidRDefault="007F2420" w:rsidP="00635B09">
      <w:pPr>
        <w:widowControl w:val="0"/>
        <w:autoSpaceDE w:val="0"/>
        <w:autoSpaceDN w:val="0"/>
        <w:adjustRightInd w:val="0"/>
        <w:spacing w:after="200"/>
        <w:rPr>
          <w:rFonts w:eastAsiaTheme="minorHAnsi" w:cs="AdvPSA88A"/>
          <w:szCs w:val="20"/>
          <w:lang w:val="en-US" w:eastAsia="en-US"/>
        </w:rPr>
      </w:pPr>
    </w:p>
    <w:p w:rsidR="007F2420" w:rsidRDefault="007F2420" w:rsidP="00635B09">
      <w:pPr>
        <w:widowControl w:val="0"/>
        <w:autoSpaceDE w:val="0"/>
        <w:autoSpaceDN w:val="0"/>
        <w:adjustRightInd w:val="0"/>
        <w:spacing w:after="200"/>
        <w:rPr>
          <w:rFonts w:eastAsiaTheme="minorHAnsi" w:cs="AdvPSA88A"/>
          <w:szCs w:val="20"/>
          <w:lang w:val="en-US" w:eastAsia="en-US"/>
        </w:rPr>
      </w:pPr>
    </w:p>
    <w:p w:rsidR="007F2420" w:rsidRDefault="007F2420" w:rsidP="00635B09">
      <w:pPr>
        <w:widowControl w:val="0"/>
        <w:autoSpaceDE w:val="0"/>
        <w:autoSpaceDN w:val="0"/>
        <w:adjustRightInd w:val="0"/>
        <w:spacing w:after="200"/>
        <w:rPr>
          <w:rFonts w:eastAsiaTheme="minorHAnsi" w:cs="AdvPSA88A"/>
          <w:szCs w:val="20"/>
          <w:lang w:val="en-US" w:eastAsia="en-US"/>
        </w:rPr>
      </w:pPr>
    </w:p>
    <w:p w:rsidR="007F2420" w:rsidRDefault="007F2420" w:rsidP="00635B09">
      <w:pPr>
        <w:widowControl w:val="0"/>
        <w:autoSpaceDE w:val="0"/>
        <w:autoSpaceDN w:val="0"/>
        <w:adjustRightInd w:val="0"/>
        <w:spacing w:after="200"/>
        <w:rPr>
          <w:rFonts w:eastAsiaTheme="minorHAnsi" w:cs="AdvPSA88A"/>
          <w:szCs w:val="20"/>
          <w:lang w:val="en-US" w:eastAsia="en-US"/>
        </w:rPr>
      </w:pPr>
    </w:p>
    <w:p w:rsidR="007F2420" w:rsidRDefault="007F2420" w:rsidP="007F2420">
      <w:pPr>
        <w:widowControl w:val="0"/>
        <w:autoSpaceDE w:val="0"/>
        <w:autoSpaceDN w:val="0"/>
        <w:adjustRightInd w:val="0"/>
        <w:spacing w:after="200"/>
        <w:rPr>
          <w:rFonts w:eastAsiaTheme="minorHAnsi" w:cs="AdvPSA88A"/>
          <w:szCs w:val="20"/>
          <w:lang w:val="en-US" w:eastAsia="en-US"/>
        </w:rPr>
      </w:pPr>
      <w:r>
        <w:rPr>
          <w:rFonts w:eastAsiaTheme="minorHAnsi" w:cs="AdvPSA88A"/>
          <w:i/>
          <w:sz w:val="20"/>
          <w:szCs w:val="20"/>
          <w:lang w:val="en-US" w:eastAsia="en-US"/>
        </w:rPr>
        <w:t>Source: Napolitano et al., 2010, p. 538 and 541.</w:t>
      </w:r>
    </w:p>
    <w:p w:rsidR="007F2420" w:rsidRDefault="00085DDA" w:rsidP="00085DDA">
      <w:pPr>
        <w:spacing w:after="200"/>
        <w:rPr>
          <w:rFonts w:eastAsiaTheme="minorHAnsi" w:cs="AdvPSA88A"/>
          <w:szCs w:val="20"/>
          <w:lang w:val="en-US" w:eastAsia="en-US"/>
        </w:rPr>
      </w:pPr>
      <w:r>
        <w:t xml:space="preserve">These authors conclude: </w:t>
      </w:r>
      <w:r>
        <w:rPr>
          <w:rFonts w:eastAsiaTheme="minorHAnsi" w:cs="AdvPSA88A"/>
          <w:i/>
          <w:szCs w:val="20"/>
          <w:lang w:val="en-US" w:eastAsia="en-US"/>
        </w:rPr>
        <w:t>“T</w:t>
      </w:r>
      <w:r w:rsidRPr="001E65B0">
        <w:rPr>
          <w:rFonts w:eastAsiaTheme="minorHAnsi" w:cs="AdvPSA88A"/>
          <w:i/>
          <w:szCs w:val="20"/>
          <w:lang w:val="en-US" w:eastAsia="en-US"/>
        </w:rPr>
        <w:t>wo current main trends have been described within the</w:t>
      </w:r>
      <w:r>
        <w:rPr>
          <w:rFonts w:eastAsiaTheme="minorHAnsi" w:cs="AdvPSA88A"/>
          <w:i/>
          <w:szCs w:val="20"/>
          <w:lang w:val="en-US" w:eastAsia="en-US"/>
        </w:rPr>
        <w:t xml:space="preserve"> </w:t>
      </w:r>
      <w:r w:rsidRPr="001E65B0">
        <w:rPr>
          <w:rFonts w:eastAsiaTheme="minorHAnsi" w:cs="AdvPSA88A"/>
          <w:i/>
          <w:szCs w:val="20"/>
          <w:lang w:val="en-US" w:eastAsia="en-US"/>
        </w:rPr>
        <w:t>market of animal-based products: 1) consumers tend to rely</w:t>
      </w:r>
      <w:r>
        <w:rPr>
          <w:rFonts w:eastAsiaTheme="minorHAnsi" w:cs="AdvPSA88A"/>
          <w:i/>
          <w:szCs w:val="20"/>
          <w:lang w:val="en-US" w:eastAsia="en-US"/>
        </w:rPr>
        <w:t xml:space="preserve"> </w:t>
      </w:r>
      <w:r w:rsidRPr="001E65B0">
        <w:rPr>
          <w:rFonts w:eastAsiaTheme="minorHAnsi" w:cs="AdvPSA88A"/>
          <w:i/>
          <w:szCs w:val="20"/>
          <w:lang w:val="en-US" w:eastAsia="en-US"/>
        </w:rPr>
        <w:t>more and more on extrinsic cues and credence characteristics</w:t>
      </w:r>
      <w:r>
        <w:rPr>
          <w:rFonts w:eastAsiaTheme="minorHAnsi" w:cs="AdvPSA88A"/>
          <w:i/>
          <w:szCs w:val="20"/>
          <w:lang w:val="en-US" w:eastAsia="en-US"/>
        </w:rPr>
        <w:t xml:space="preserve"> </w:t>
      </w:r>
      <w:r w:rsidRPr="001E65B0">
        <w:rPr>
          <w:rFonts w:eastAsiaTheme="minorHAnsi" w:cs="AdvPSA88A"/>
          <w:i/>
          <w:szCs w:val="20"/>
          <w:lang w:val="en-US" w:eastAsia="en-US"/>
        </w:rPr>
        <w:t>in their food purchasing decision process, 2) animal welfare is</w:t>
      </w:r>
      <w:r>
        <w:rPr>
          <w:rFonts w:eastAsiaTheme="minorHAnsi" w:cs="AdvPSA88A"/>
          <w:i/>
          <w:szCs w:val="20"/>
          <w:lang w:val="en-US" w:eastAsia="en-US"/>
        </w:rPr>
        <w:t xml:space="preserve"> </w:t>
      </w:r>
      <w:r w:rsidRPr="001E65B0">
        <w:rPr>
          <w:rFonts w:eastAsiaTheme="minorHAnsi" w:cs="AdvPSA88A"/>
          <w:i/>
          <w:szCs w:val="20"/>
          <w:lang w:val="en-US" w:eastAsia="en-US"/>
        </w:rPr>
        <w:t>becoming increasingly important in the hierarchy of societal</w:t>
      </w:r>
      <w:r>
        <w:rPr>
          <w:rFonts w:eastAsiaTheme="minorHAnsi" w:cs="AdvPSA88A"/>
          <w:i/>
          <w:szCs w:val="20"/>
          <w:lang w:val="en-US" w:eastAsia="en-US"/>
        </w:rPr>
        <w:t xml:space="preserve"> </w:t>
      </w:r>
      <w:r w:rsidRPr="001E65B0">
        <w:rPr>
          <w:rFonts w:eastAsiaTheme="minorHAnsi" w:cs="AdvPSA88A"/>
          <w:i/>
          <w:szCs w:val="20"/>
          <w:lang w:val="en-US" w:eastAsia="en-US"/>
        </w:rPr>
        <w:t>issues. The combination of reliable animal welfare monitoring</w:t>
      </w:r>
      <w:r>
        <w:rPr>
          <w:rFonts w:eastAsiaTheme="minorHAnsi" w:cs="AdvPSA88A"/>
          <w:i/>
          <w:szCs w:val="20"/>
          <w:lang w:val="en-US" w:eastAsia="en-US"/>
        </w:rPr>
        <w:t xml:space="preserve"> and effective labe</w:t>
      </w:r>
      <w:r w:rsidRPr="001E65B0">
        <w:rPr>
          <w:rFonts w:eastAsiaTheme="minorHAnsi" w:cs="AdvPSA88A"/>
          <w:i/>
          <w:szCs w:val="20"/>
          <w:lang w:val="en-US" w:eastAsia="en-US"/>
        </w:rPr>
        <w:t>ling of animal-based products may</w:t>
      </w:r>
      <w:r>
        <w:rPr>
          <w:rFonts w:eastAsiaTheme="minorHAnsi" w:cs="AdvPSA88A"/>
          <w:i/>
          <w:szCs w:val="20"/>
          <w:lang w:val="en-US" w:eastAsia="en-US"/>
        </w:rPr>
        <w:t xml:space="preserve"> </w:t>
      </w:r>
      <w:r w:rsidRPr="001E65B0">
        <w:rPr>
          <w:rFonts w:eastAsiaTheme="minorHAnsi" w:cs="AdvPSA88A"/>
          <w:i/>
          <w:szCs w:val="20"/>
          <w:lang w:val="en-US" w:eastAsia="en-US"/>
        </w:rPr>
        <w:t>then help meeting the increasing demand of specific consumer</w:t>
      </w:r>
      <w:r>
        <w:rPr>
          <w:rFonts w:eastAsiaTheme="minorHAnsi" w:cs="AdvPSA88A"/>
          <w:i/>
          <w:szCs w:val="20"/>
          <w:lang w:val="en-US" w:eastAsia="en-US"/>
        </w:rPr>
        <w:t xml:space="preserve"> </w:t>
      </w:r>
      <w:r w:rsidRPr="001E65B0">
        <w:rPr>
          <w:rFonts w:eastAsiaTheme="minorHAnsi" w:cs="AdvPSA88A"/>
          <w:i/>
          <w:szCs w:val="20"/>
          <w:lang w:val="en-US" w:eastAsia="en-US"/>
        </w:rPr>
        <w:t>segments for animal welfare-friendly products while</w:t>
      </w:r>
      <w:r>
        <w:rPr>
          <w:rFonts w:eastAsiaTheme="minorHAnsi" w:cs="AdvPSA88A"/>
          <w:i/>
          <w:szCs w:val="20"/>
          <w:lang w:val="en-US" w:eastAsia="en-US"/>
        </w:rPr>
        <w:t xml:space="preserve"> </w:t>
      </w:r>
      <w:r w:rsidRPr="001E65B0">
        <w:rPr>
          <w:rFonts w:eastAsiaTheme="minorHAnsi" w:cs="AdvPSA88A"/>
          <w:i/>
          <w:szCs w:val="20"/>
          <w:lang w:val="en-US" w:eastAsia="en-US"/>
        </w:rPr>
        <w:t>sustaining the welfare state of the animals</w:t>
      </w:r>
      <w:r>
        <w:rPr>
          <w:rFonts w:eastAsiaTheme="minorHAnsi" w:cs="AdvPSA88A"/>
          <w:i/>
          <w:szCs w:val="20"/>
          <w:lang w:val="en-US" w:eastAsia="en-US"/>
        </w:rPr>
        <w:t>”</w:t>
      </w:r>
      <w:r>
        <w:rPr>
          <w:rFonts w:eastAsiaTheme="minorHAnsi" w:cs="AdvPSA88A"/>
          <w:szCs w:val="20"/>
          <w:lang w:val="en-US" w:eastAsia="en-US"/>
        </w:rPr>
        <w:t xml:space="preserve"> (p 541)</w:t>
      </w:r>
      <w:r w:rsidRPr="001E65B0">
        <w:rPr>
          <w:rFonts w:eastAsiaTheme="minorHAnsi" w:cs="AdvPSA88A"/>
          <w:i/>
          <w:szCs w:val="20"/>
          <w:lang w:val="en-US" w:eastAsia="en-US"/>
        </w:rPr>
        <w:t>.</w:t>
      </w:r>
      <w:r>
        <w:rPr>
          <w:rFonts w:eastAsiaTheme="minorHAnsi" w:cs="AdvPSA88A"/>
          <w:szCs w:val="20"/>
          <w:lang w:val="en-US" w:eastAsia="en-US"/>
        </w:rPr>
        <w:t xml:space="preserve"> They reinforce a major message of this deliverable – that supply chains have already developed substantially to incorporate consumer and citizen demands for improved animal welfare, especially through differentiation of products and the associated segmentation of markets.  There is little substantial evidence for serious market failure, despite the observed gap between consumer demands and citizen attitudes. There is strong logical and analytical evidence to support the proposition that </w:t>
      </w:r>
      <w:proofErr w:type="spellStart"/>
      <w:r>
        <w:rPr>
          <w:rFonts w:eastAsiaTheme="minorHAnsi" w:cs="AdvPSA88A"/>
          <w:szCs w:val="20"/>
          <w:lang w:val="en-US" w:eastAsia="en-US"/>
        </w:rPr>
        <w:t>agri</w:t>
      </w:r>
      <w:proofErr w:type="spellEnd"/>
      <w:r>
        <w:rPr>
          <w:rFonts w:eastAsiaTheme="minorHAnsi" w:cs="AdvPSA88A"/>
          <w:szCs w:val="20"/>
          <w:lang w:val="en-US" w:eastAsia="en-US"/>
        </w:rPr>
        <w:t>-food supply chains will continue to adopt, adapt and innovate to better meet consumer and citizen demands, while reflecting and respecting both the real costs of improvement and the real effective demands for further improvements.</w:t>
      </w:r>
    </w:p>
    <w:p w:rsidR="00085DDA" w:rsidRDefault="00085DDA" w:rsidP="00085DDA">
      <w:pPr>
        <w:spacing w:after="200"/>
      </w:pPr>
      <w:r>
        <w:t xml:space="preserve">However, </w:t>
      </w:r>
      <w:r>
        <w:rPr>
          <w:rFonts w:eastAsiaTheme="minorHAnsi" w:cs="AdvPSA88A"/>
          <w:szCs w:val="20"/>
          <w:lang w:val="en-US" w:eastAsia="en-US"/>
        </w:rPr>
        <w:t xml:space="preserve">to fulfill the maximum potential of these trends and developments, there continues to be a need for government support and assistance, in collaboration with the major stakeholders, especially in raising awareness, establishing and legitimating standards, </w:t>
      </w:r>
      <w:proofErr w:type="spellStart"/>
      <w:r>
        <w:rPr>
          <w:rFonts w:eastAsiaTheme="minorHAnsi" w:cs="AdvPSA88A"/>
          <w:szCs w:val="20"/>
          <w:lang w:val="en-US" w:eastAsia="en-US"/>
        </w:rPr>
        <w:t>authorising</w:t>
      </w:r>
      <w:proofErr w:type="spellEnd"/>
      <w:r>
        <w:rPr>
          <w:rFonts w:eastAsiaTheme="minorHAnsi" w:cs="AdvPSA88A"/>
          <w:szCs w:val="20"/>
          <w:lang w:val="en-US" w:eastAsia="en-US"/>
        </w:rPr>
        <w:t xml:space="preserve"> third-party verification, and assisting the development of marketing chains through training, education and funding assistance. </w:t>
      </w:r>
      <w:r>
        <w:t>Our socio-economic analysis here strongly supports the previous Deliverables, which report the findings of our information assembly and stakeholder engagement activities, summarised in D3.4 as the Animal Welfare Development Road (Figure 10)</w:t>
      </w:r>
      <w:r w:rsidR="00291091">
        <w:t>.</w:t>
      </w:r>
    </w:p>
    <w:p w:rsidR="00291091" w:rsidRDefault="00291091" w:rsidP="00291091">
      <w:pPr>
        <w:spacing w:before="60" w:after="60"/>
        <w:rPr>
          <w:b/>
        </w:rPr>
      </w:pPr>
      <w:r>
        <w:rPr>
          <w:b/>
        </w:rPr>
        <w:t>Figure 10</w:t>
      </w:r>
      <w:r>
        <w:rPr>
          <w:b/>
        </w:rPr>
        <w:tab/>
        <w:t>Animal Welfare Development Road</w:t>
      </w:r>
    </w:p>
    <w:p w:rsidR="00291091" w:rsidRPr="001C29D2" w:rsidRDefault="00E240FD" w:rsidP="00291091">
      <w:pPr>
        <w:spacing w:before="60" w:after="60"/>
        <w:rPr>
          <w:b/>
        </w:rPr>
      </w:pPr>
      <w:r w:rsidRPr="00E240FD">
        <w:rPr>
          <w:b/>
          <w:noProof/>
          <w:lang w:val="en-US" w:eastAsia="en-US"/>
        </w:rPr>
        <w:drawing>
          <wp:inline distT="0" distB="0" distL="0" distR="0">
            <wp:extent cx="5760720" cy="3303564"/>
            <wp:effectExtent l="0" t="0" r="0" b="0"/>
            <wp:docPr id="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90968" cy="4754563"/>
                      <a:chOff x="889545" y="1266825"/>
                      <a:chExt cx="8290968" cy="4754563"/>
                    </a:xfrm>
                  </a:grpSpPr>
                  <a:grpSp>
                    <a:nvGrpSpPr>
                      <a:cNvPr id="31" name="Group 30"/>
                      <a:cNvGrpSpPr/>
                    </a:nvGrpSpPr>
                    <a:grpSpPr>
                      <a:xfrm>
                        <a:off x="889545" y="1266825"/>
                        <a:ext cx="8290968" cy="4754563"/>
                        <a:chOff x="889545" y="1266825"/>
                        <a:chExt cx="8290968" cy="4754563"/>
                      </a:xfrm>
                    </a:grpSpPr>
                    <a:sp>
                      <a:nvSpPr>
                        <a:cNvPr id="15363" name="Line 2"/>
                        <a:cNvSpPr>
                          <a:spLocks noChangeShapeType="1"/>
                        </a:cNvSpPr>
                      </a:nvSpPr>
                      <a:spPr bwMode="auto">
                        <a:xfrm flipH="1">
                          <a:off x="1296988" y="1341438"/>
                          <a:ext cx="0" cy="4140200"/>
                        </a:xfrm>
                        <a:prstGeom prst="line">
                          <a:avLst/>
                        </a:prstGeom>
                        <a:noFill/>
                        <a:ln w="12700">
                          <a:solidFill>
                            <a:srgbClr val="00080C"/>
                          </a:solidFill>
                          <a:round/>
                          <a:headEnd type="triangle" w="med" len="me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GB"/>
                          </a:p>
                        </a:txBody>
                        <a:useSpRect/>
                      </a:txSp>
                    </a:sp>
                    <a:cxnSp>
                      <a:nvCxnSpPr>
                        <a:cNvPr id="5" name="AutoShape 3"/>
                        <a:cNvCxnSpPr>
                          <a:cxnSpLocks noChangeShapeType="1"/>
                        </a:cNvCxnSpPr>
                      </a:nvCxnSpPr>
                      <a:spPr bwMode="auto">
                        <a:xfrm flipV="1">
                          <a:off x="1724025" y="1773238"/>
                          <a:ext cx="3606800" cy="3384550"/>
                        </a:xfrm>
                        <a:prstGeom prst="curvedConnector3">
                          <a:avLst>
                            <a:gd name="adj1" fmla="val 50000"/>
                          </a:avLst>
                        </a:prstGeom>
                        <a:ln>
                          <a:headEnd/>
                          <a:tailEnd/>
                        </a:ln>
                        <a:effectLst/>
                      </a:spPr>
                      <a:style>
                        <a:lnRef idx="2">
                          <a:schemeClr val="dk1"/>
                        </a:lnRef>
                        <a:fillRef idx="0">
                          <a:schemeClr val="dk1"/>
                        </a:fillRef>
                        <a:effectRef idx="1">
                          <a:schemeClr val="dk1"/>
                        </a:effectRef>
                        <a:fontRef idx="minor">
                          <a:schemeClr val="tx1"/>
                        </a:fontRef>
                      </a:style>
                    </a:cxnSp>
                    <a:sp>
                      <a:nvSpPr>
                        <a:cNvPr id="9221" name="Text Box 4"/>
                        <a:cNvSpPr txBox="1">
                          <a:spLocks noChangeArrowheads="1"/>
                        </a:cNvSpPr>
                      </a:nvSpPr>
                      <a:spPr bwMode="auto">
                        <a:xfrm>
                          <a:off x="889545" y="1266825"/>
                          <a:ext cx="430887" cy="3676650"/>
                        </a:xfrm>
                        <a:prstGeom prst="rect">
                          <a:avLst/>
                        </a:prstGeom>
                        <a:noFill/>
                        <a:ln w="12700">
                          <a:noFill/>
                          <a:miter lim="800000"/>
                          <a:headEnd/>
                          <a:tailEnd/>
                        </a:ln>
                      </a:spPr>
                      <a:txSp>
                        <a:txBody>
                          <a:bodyPr vert="vert27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defRPr/>
                            </a:pPr>
                            <a:r>
                              <a:rPr lang="en-US" sz="1600" dirty="0">
                                <a:solidFill>
                                  <a:srgbClr val="00080C"/>
                                </a:solidFill>
                                <a:latin typeface="News Gothic"/>
                              </a:rPr>
                              <a:t>Maturity of Animal welfare  issue</a:t>
                            </a:r>
                          </a:p>
                        </a:txBody>
                        <a:useSpRect/>
                      </a:txSp>
                    </a:sp>
                    <a:sp>
                      <a:nvSpPr>
                        <a:cNvPr id="15366" name="Line 5"/>
                        <a:cNvSpPr>
                          <a:spLocks noChangeShapeType="1"/>
                        </a:cNvSpPr>
                      </a:nvSpPr>
                      <a:spPr bwMode="auto">
                        <a:xfrm>
                          <a:off x="1296988" y="5481638"/>
                          <a:ext cx="7670800" cy="20637"/>
                        </a:xfrm>
                        <a:prstGeom prst="line">
                          <a:avLst/>
                        </a:prstGeom>
                        <a:noFill/>
                        <a:ln w="12700">
                          <a:solidFill>
                            <a:srgbClr val="00080C"/>
                          </a:solidFill>
                          <a:round/>
                          <a:headEnd/>
                          <a:tailEnd type="triangle" w="med" len="me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endParaRPr lang="en-GB"/>
                          </a:p>
                        </a:txBody>
                        <a:useSpRect/>
                      </a:txSp>
                    </a:sp>
                    <a:sp>
                      <a:nvSpPr>
                        <a:cNvPr id="15367" name="Text Box 6"/>
                        <a:cNvSpPr txBox="1">
                          <a:spLocks noChangeArrowheads="1"/>
                        </a:cNvSpPr>
                      </a:nvSpPr>
                      <a:spPr bwMode="auto">
                        <a:xfrm>
                          <a:off x="3354388" y="5683250"/>
                          <a:ext cx="631825" cy="338138"/>
                        </a:xfrm>
                        <a:prstGeom prst="rect">
                          <a:avLst/>
                        </a:prstGeom>
                        <a:noFill/>
                        <a:ln w="12700">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1600">
                                <a:solidFill>
                                  <a:srgbClr val="00080C"/>
                                </a:solidFill>
                                <a:latin typeface="News Gothic"/>
                              </a:rPr>
                              <a:t>Time</a:t>
                            </a:r>
                          </a:p>
                        </a:txBody>
                        <a:useSpRect/>
                      </a:txSp>
                    </a:sp>
                    <a:sp>
                      <a:nvSpPr>
                        <a:cNvPr id="9224" name="TextBox 9"/>
                        <a:cNvSpPr txBox="1">
                          <a:spLocks noChangeArrowheads="1"/>
                        </a:cNvSpPr>
                      </a:nvSpPr>
                      <a:spPr bwMode="auto">
                        <a:xfrm>
                          <a:off x="2871788" y="4756150"/>
                          <a:ext cx="2703512" cy="5842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600"/>
                              <a:t>Increasing compliance with </a:t>
                            </a:r>
                          </a:p>
                          <a:p>
                            <a:r>
                              <a:rPr lang="en-GB" sz="1600"/>
                              <a:t>EU legislation</a:t>
                            </a:r>
                          </a:p>
                        </a:txBody>
                        <a:useSpRect/>
                      </a:txSp>
                    </a:sp>
                    <a:sp>
                      <a:nvSpPr>
                        <a:cNvPr id="9225" name="TextBox 10"/>
                        <a:cNvSpPr txBox="1">
                          <a:spLocks noChangeArrowheads="1"/>
                        </a:cNvSpPr>
                      </a:nvSpPr>
                      <a:spPr bwMode="auto">
                        <a:xfrm>
                          <a:off x="3463925" y="4100513"/>
                          <a:ext cx="1700213" cy="33813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600"/>
                              <a:t>Raising awareness</a:t>
                            </a:r>
                          </a:p>
                        </a:txBody>
                        <a:useSpRect/>
                      </a:txSp>
                    </a:sp>
                    <a:sp>
                      <a:nvSpPr>
                        <a:cNvPr id="9226" name="TextBox 11"/>
                        <a:cNvSpPr txBox="1">
                          <a:spLocks noChangeArrowheads="1"/>
                        </a:cNvSpPr>
                      </a:nvSpPr>
                      <a:spPr bwMode="auto">
                        <a:xfrm>
                          <a:off x="3587750" y="3343275"/>
                          <a:ext cx="1990725" cy="33813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600"/>
                              <a:t>Product development</a:t>
                            </a:r>
                          </a:p>
                        </a:txBody>
                        <a:useSpRect/>
                      </a:txSp>
                    </a:sp>
                    <a:sp>
                      <a:nvSpPr>
                        <a:cNvPr id="9227" name="TextBox 12"/>
                        <a:cNvSpPr txBox="1">
                          <a:spLocks noChangeArrowheads="1"/>
                        </a:cNvSpPr>
                      </a:nvSpPr>
                      <a:spPr bwMode="auto">
                        <a:xfrm>
                          <a:off x="3798888" y="2686050"/>
                          <a:ext cx="1441450" cy="338138"/>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600"/>
                              <a:t>Mainstreaming</a:t>
                            </a:r>
                          </a:p>
                        </a:txBody>
                        <a:useSpRect/>
                      </a:txSp>
                    </a:sp>
                    <a:sp>
                      <a:nvSpPr>
                        <a:cNvPr id="9228" name="TextBox 13"/>
                        <a:cNvSpPr txBox="1">
                          <a:spLocks noChangeArrowheads="1"/>
                        </a:cNvSpPr>
                      </a:nvSpPr>
                      <a:spPr bwMode="auto">
                        <a:xfrm>
                          <a:off x="3340100" y="1946275"/>
                          <a:ext cx="2473325" cy="585788"/>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r"/>
                            <a:r>
                              <a:rPr lang="en-GB" sz="1600"/>
                              <a:t>Integration </a:t>
                            </a:r>
                          </a:p>
                          <a:p>
                            <a:pPr algn="r"/>
                            <a:r>
                              <a:rPr lang="en-GB" sz="1600"/>
                              <a:t>with other issues</a:t>
                            </a:r>
                          </a:p>
                        </a:txBody>
                        <a:useSpRect/>
                      </a:txSp>
                    </a:sp>
                    <a:sp>
                      <a:nvSpPr>
                        <a:cNvPr id="15373" name="TextBox 14"/>
                        <a:cNvSpPr txBox="1">
                          <a:spLocks noChangeArrowheads="1"/>
                        </a:cNvSpPr>
                      </a:nvSpPr>
                      <a:spPr bwMode="auto">
                        <a:xfrm>
                          <a:off x="6318250" y="1341438"/>
                          <a:ext cx="804863"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u="sng"/>
                              <a:t>What?</a:t>
                            </a:r>
                          </a:p>
                        </a:txBody>
                        <a:useSpRect/>
                      </a:txSp>
                    </a:sp>
                    <a:sp>
                      <a:nvSpPr>
                        <a:cNvPr id="15374" name="TextBox 15"/>
                        <a:cNvSpPr txBox="1">
                          <a:spLocks noChangeArrowheads="1"/>
                        </a:cNvSpPr>
                      </a:nvSpPr>
                      <a:spPr bwMode="auto">
                        <a:xfrm>
                          <a:off x="7804150" y="1341438"/>
                          <a:ext cx="741363"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u="sng"/>
                              <a:t>Who?</a:t>
                            </a:r>
                          </a:p>
                        </a:txBody>
                        <a:useSpRect/>
                      </a:txSp>
                    </a:sp>
                    <a:sp>
                      <a:nvSpPr>
                        <a:cNvPr id="9231" name="TextBox 16"/>
                        <a:cNvSpPr txBox="1">
                          <a:spLocks noChangeArrowheads="1"/>
                        </a:cNvSpPr>
                      </a:nvSpPr>
                      <a:spPr bwMode="auto">
                        <a:xfrm>
                          <a:off x="6002338" y="4749800"/>
                          <a:ext cx="2173287"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Sharing best practices  incentives  and</a:t>
                            </a:r>
                          </a:p>
                          <a:p>
                            <a:r>
                              <a:rPr lang="en-GB" sz="1200"/>
                              <a:t>enforcement</a:t>
                            </a:r>
                          </a:p>
                        </a:txBody>
                        <a:useSpRect/>
                      </a:txSp>
                    </a:sp>
                    <a:sp>
                      <a:nvSpPr>
                        <a:cNvPr id="9232" name="TextBox 17"/>
                        <a:cNvSpPr txBox="1">
                          <a:spLocks noChangeArrowheads="1"/>
                        </a:cNvSpPr>
                      </a:nvSpPr>
                      <a:spPr bwMode="auto">
                        <a:xfrm>
                          <a:off x="7700963" y="4797425"/>
                          <a:ext cx="1363662" cy="461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Farmers, chain, and government</a:t>
                            </a:r>
                          </a:p>
                        </a:txBody>
                        <a:useSpRect/>
                      </a:txSp>
                    </a:sp>
                    <a:sp>
                      <a:nvSpPr>
                        <a:cNvPr id="9233" name="TextBox 18"/>
                        <a:cNvSpPr txBox="1">
                          <a:spLocks noChangeArrowheads="1"/>
                        </a:cNvSpPr>
                      </a:nvSpPr>
                      <a:spPr bwMode="auto">
                        <a:xfrm>
                          <a:off x="6000750" y="4168775"/>
                          <a:ext cx="1584325" cy="461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Public information and education</a:t>
                            </a:r>
                          </a:p>
                        </a:txBody>
                        <a:useSpRect/>
                      </a:txSp>
                    </a:sp>
                    <a:sp>
                      <a:nvSpPr>
                        <a:cNvPr id="9234" name="TextBox 19"/>
                        <a:cNvSpPr txBox="1">
                          <a:spLocks noChangeArrowheads="1"/>
                        </a:cNvSpPr>
                      </a:nvSpPr>
                      <a:spPr bwMode="auto">
                        <a:xfrm>
                          <a:off x="7664450" y="4195763"/>
                          <a:ext cx="1516063"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NGOs and government</a:t>
                            </a:r>
                          </a:p>
                        </a:txBody>
                        <a:useSpRect/>
                      </a:txSp>
                    </a:sp>
                    <a:sp>
                      <a:nvSpPr>
                        <a:cNvPr id="9235" name="TextBox 20"/>
                        <a:cNvSpPr txBox="1">
                          <a:spLocks noChangeArrowheads="1"/>
                        </a:cNvSpPr>
                      </a:nvSpPr>
                      <a:spPr bwMode="auto">
                        <a:xfrm>
                          <a:off x="6013450" y="3217863"/>
                          <a:ext cx="1651000" cy="8302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Public-private-   partnerships developing </a:t>
                            </a:r>
                          </a:p>
                          <a:p>
                            <a:r>
                              <a:rPr lang="en-GB" sz="1200"/>
                              <a:t>products &amp; standards</a:t>
                            </a:r>
                          </a:p>
                        </a:txBody>
                        <a:useSpRect/>
                      </a:txSp>
                    </a:sp>
                    <a:sp>
                      <a:nvSpPr>
                        <a:cNvPr id="9236" name="TextBox 21"/>
                        <a:cNvSpPr txBox="1">
                          <a:spLocks noChangeArrowheads="1"/>
                        </a:cNvSpPr>
                      </a:nvSpPr>
                      <a:spPr bwMode="auto">
                        <a:xfrm>
                          <a:off x="7632700" y="3267075"/>
                          <a:ext cx="1516063" cy="64611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Retailers, industry NGOs  and government</a:t>
                            </a:r>
                          </a:p>
                        </a:txBody>
                        <a:useSpRect/>
                      </a:txSp>
                    </a:sp>
                    <a:sp>
                      <a:nvSpPr>
                        <a:cNvPr id="9237" name="TextBox 22"/>
                        <a:cNvSpPr txBox="1">
                          <a:spLocks noChangeArrowheads="1"/>
                        </a:cNvSpPr>
                      </a:nvSpPr>
                      <a:spPr bwMode="auto">
                        <a:xfrm>
                          <a:off x="6040438" y="2624138"/>
                          <a:ext cx="1260475"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Marketing support</a:t>
                            </a:r>
                          </a:p>
                        </a:txBody>
                        <a:useSpRect/>
                      </a:txSp>
                    </a:sp>
                    <a:sp>
                      <a:nvSpPr>
                        <a:cNvPr id="9238" name="TextBox 23"/>
                        <a:cNvSpPr txBox="1">
                          <a:spLocks noChangeArrowheads="1"/>
                        </a:cNvSpPr>
                      </a:nvSpPr>
                      <a:spPr bwMode="auto">
                        <a:xfrm>
                          <a:off x="7653338" y="2633663"/>
                          <a:ext cx="1516062" cy="461962"/>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Retailers, chain and NGOs</a:t>
                            </a:r>
                          </a:p>
                        </a:txBody>
                        <a:useSpRect/>
                      </a:txSp>
                    </a:sp>
                    <a:sp>
                      <a:nvSpPr>
                        <a:cNvPr id="9239" name="TextBox 24"/>
                        <a:cNvSpPr txBox="1">
                          <a:spLocks noChangeArrowheads="1"/>
                        </a:cNvSpPr>
                      </a:nvSpPr>
                      <a:spPr bwMode="auto">
                        <a:xfrm>
                          <a:off x="7616825" y="2022475"/>
                          <a:ext cx="1516063" cy="307975"/>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400"/>
                              <a:t>All stakeholders</a:t>
                            </a:r>
                          </a:p>
                        </a:txBody>
                        <a:useSpRect/>
                      </a:txSp>
                    </a:sp>
                    <a:sp>
                      <a:nvSpPr>
                        <a:cNvPr id="9240" name="TextBox 25"/>
                        <a:cNvSpPr txBox="1">
                          <a:spLocks noChangeArrowheads="1"/>
                        </a:cNvSpPr>
                      </a:nvSpPr>
                      <a:spPr bwMode="auto">
                        <a:xfrm>
                          <a:off x="6048375" y="1993900"/>
                          <a:ext cx="1538288" cy="461963"/>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sz="1200"/>
                              <a:t>Standards development</a:t>
                            </a:r>
                          </a:p>
                        </a:txBody>
                        <a:useSpRect/>
                      </a:txSp>
                    </a:sp>
                    <a:cxnSp>
                      <a:nvCxnSpPr>
                        <a:cNvPr id="26" name="Straight Connector 28"/>
                        <a:cNvCxnSpPr/>
                      </a:nvCxnSpPr>
                      <a:spPr>
                        <a:xfrm flipH="1">
                          <a:off x="7629525" y="1373188"/>
                          <a:ext cx="0" cy="3959225"/>
                        </a:xfrm>
                        <a:prstGeom prst="line">
                          <a:avLst/>
                        </a:prstGeom>
                      </a:spPr>
                      <a:style>
                        <a:lnRef idx="1">
                          <a:schemeClr val="accent1"/>
                        </a:lnRef>
                        <a:fillRef idx="0">
                          <a:schemeClr val="accent1"/>
                        </a:fillRef>
                        <a:effectRef idx="0">
                          <a:schemeClr val="accent1"/>
                        </a:effectRef>
                        <a:fontRef idx="minor">
                          <a:schemeClr val="tx1"/>
                        </a:fontRef>
                      </a:style>
                    </a:cxnSp>
                    <a:sp>
                      <a:nvSpPr>
                        <a:cNvPr id="9242" name="TextBox 30"/>
                        <a:cNvSpPr txBox="1">
                          <a:spLocks noChangeArrowheads="1"/>
                        </a:cNvSpPr>
                      </a:nvSpPr>
                      <a:spPr bwMode="auto">
                        <a:xfrm>
                          <a:off x="2120900" y="4570413"/>
                          <a:ext cx="360363"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1.</a:t>
                            </a:r>
                          </a:p>
                        </a:txBody>
                        <a:useSpRect/>
                      </a:txSp>
                    </a:sp>
                    <a:sp>
                      <a:nvSpPr>
                        <a:cNvPr id="9243" name="TextBox 31"/>
                        <a:cNvSpPr txBox="1">
                          <a:spLocks noChangeArrowheads="1"/>
                        </a:cNvSpPr>
                      </a:nvSpPr>
                      <a:spPr bwMode="auto">
                        <a:xfrm>
                          <a:off x="2797175" y="3954463"/>
                          <a:ext cx="358775"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2.</a:t>
                            </a:r>
                          </a:p>
                        </a:txBody>
                        <a:useSpRect/>
                      </a:txSp>
                    </a:sp>
                    <a:sp>
                      <a:nvSpPr>
                        <a:cNvPr id="9244" name="TextBox 32"/>
                        <a:cNvSpPr txBox="1">
                          <a:spLocks noChangeArrowheads="1"/>
                        </a:cNvSpPr>
                      </a:nvSpPr>
                      <a:spPr bwMode="auto">
                        <a:xfrm>
                          <a:off x="3132138" y="3284538"/>
                          <a:ext cx="360362"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3.</a:t>
                            </a:r>
                          </a:p>
                        </a:txBody>
                        <a:useSpRect/>
                      </a:txSp>
                    </a:sp>
                    <a:sp>
                      <a:nvSpPr>
                        <a:cNvPr id="9245" name="TextBox 33"/>
                        <a:cNvSpPr txBox="1">
                          <a:spLocks noChangeArrowheads="1"/>
                        </a:cNvSpPr>
                      </a:nvSpPr>
                      <a:spPr bwMode="auto">
                        <a:xfrm>
                          <a:off x="3341688" y="2627313"/>
                          <a:ext cx="358775" cy="369887"/>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4.</a:t>
                            </a:r>
                          </a:p>
                        </a:txBody>
                        <a:useSpRect/>
                      </a:txSp>
                    </a:sp>
                    <a:sp>
                      <a:nvSpPr>
                        <a:cNvPr id="9246" name="TextBox 34"/>
                        <a:cNvSpPr txBox="1">
                          <a:spLocks noChangeArrowheads="1"/>
                        </a:cNvSpPr>
                      </a:nvSpPr>
                      <a:spPr bwMode="auto">
                        <a:xfrm>
                          <a:off x="4108450" y="1773238"/>
                          <a:ext cx="360363" cy="3683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GB"/>
                              <a:t>5.</a:t>
                            </a:r>
                          </a:p>
                        </a:txBody>
                        <a:useSpRect/>
                      </a:txSp>
                    </a:sp>
                  </a:grpSp>
                </lc:lockedCanvas>
              </a:graphicData>
            </a:graphic>
          </wp:inline>
        </w:drawing>
      </w:r>
    </w:p>
    <w:p w:rsidR="00085DDA" w:rsidRPr="001C29D2" w:rsidDel="007F2420" w:rsidRDefault="00085DDA" w:rsidP="005831C4">
      <w:pPr>
        <w:spacing w:before="60" w:after="60"/>
        <w:rPr>
          <w:b/>
        </w:rPr>
      </w:pPr>
    </w:p>
    <w:p w:rsidR="005E3F72" w:rsidRPr="00595F14" w:rsidRDefault="00CC5BF4">
      <w:pPr>
        <w:spacing w:after="200"/>
        <w:rPr>
          <w:b/>
        </w:rPr>
      </w:pPr>
      <w:r>
        <w:br w:type="page"/>
      </w:r>
      <w:r w:rsidR="008B333A" w:rsidRPr="00595F14">
        <w:rPr>
          <w:b/>
        </w:rPr>
        <w:t>References</w:t>
      </w:r>
    </w:p>
    <w:p w:rsidR="0062321F" w:rsidRPr="009D100A" w:rsidRDefault="0062321F" w:rsidP="0062321F">
      <w:pPr>
        <w:widowControl w:val="0"/>
        <w:tabs>
          <w:tab w:val="left" w:pos="567"/>
        </w:tabs>
        <w:autoSpaceDE w:val="0"/>
        <w:autoSpaceDN w:val="0"/>
        <w:adjustRightInd w:val="0"/>
        <w:spacing w:after="0"/>
        <w:ind w:left="567" w:hanging="567"/>
        <w:jc w:val="left"/>
        <w:rPr>
          <w:rFonts w:eastAsiaTheme="minorHAnsi" w:cs="Arial"/>
          <w:szCs w:val="20"/>
          <w:lang w:val="en-US" w:eastAsia="en-US"/>
        </w:rPr>
      </w:pPr>
      <w:r w:rsidRPr="009D100A">
        <w:rPr>
          <w:rFonts w:eastAsiaTheme="minorHAnsi" w:cs="Arial"/>
          <w:szCs w:val="20"/>
          <w:lang w:val="en-US" w:eastAsia="en-US"/>
        </w:rPr>
        <w:t xml:space="preserve">Andersen, L. M., 2011, “Animal Welfare and Eggs:  Cheap Talk or Money on the Counter?” </w:t>
      </w:r>
      <w:proofErr w:type="gramStart"/>
      <w:r w:rsidRPr="009D100A">
        <w:rPr>
          <w:rFonts w:eastAsiaTheme="minorHAnsi" w:cs="Arial"/>
          <w:i/>
          <w:szCs w:val="20"/>
          <w:lang w:val="en-US" w:eastAsia="en-US"/>
        </w:rPr>
        <w:t xml:space="preserve">Journal of Agricultural Economics, </w:t>
      </w:r>
      <w:r w:rsidRPr="009D100A">
        <w:rPr>
          <w:rFonts w:eastAsiaTheme="minorHAnsi" w:cs="Arial"/>
          <w:szCs w:val="20"/>
          <w:lang w:val="en-US" w:eastAsia="en-US"/>
        </w:rPr>
        <w:t xml:space="preserve">62.3, </w:t>
      </w:r>
      <w:proofErr w:type="spellStart"/>
      <w:r w:rsidRPr="009D100A">
        <w:rPr>
          <w:rFonts w:eastAsiaTheme="minorHAnsi" w:cs="Arial"/>
          <w:szCs w:val="20"/>
          <w:lang w:val="en-US" w:eastAsia="en-US"/>
        </w:rPr>
        <w:t>Septeber</w:t>
      </w:r>
      <w:proofErr w:type="spellEnd"/>
      <w:r w:rsidRPr="009D100A">
        <w:rPr>
          <w:rFonts w:eastAsiaTheme="minorHAnsi" w:cs="Arial"/>
          <w:szCs w:val="20"/>
          <w:lang w:val="en-US" w:eastAsia="en-US"/>
        </w:rPr>
        <w:t xml:space="preserve">, p xx – </w:t>
      </w:r>
      <w:proofErr w:type="spellStart"/>
      <w:r w:rsidRPr="009D100A">
        <w:rPr>
          <w:rFonts w:eastAsiaTheme="minorHAnsi" w:cs="Arial"/>
          <w:szCs w:val="20"/>
          <w:lang w:val="en-US" w:eastAsia="en-US"/>
        </w:rPr>
        <w:t>xy</w:t>
      </w:r>
      <w:proofErr w:type="spellEnd"/>
      <w:r w:rsidRPr="009D100A">
        <w:rPr>
          <w:rFonts w:eastAsiaTheme="minorHAnsi" w:cs="Arial"/>
          <w:szCs w:val="20"/>
          <w:lang w:val="en-US" w:eastAsia="en-US"/>
        </w:rPr>
        <w:t>.</w:t>
      </w:r>
      <w:proofErr w:type="gramEnd"/>
    </w:p>
    <w:p w:rsidR="0062321F" w:rsidRPr="004933AA" w:rsidRDefault="0062321F" w:rsidP="0062321F">
      <w:pPr>
        <w:widowControl w:val="0"/>
        <w:autoSpaceDE w:val="0"/>
        <w:autoSpaceDN w:val="0"/>
        <w:adjustRightInd w:val="0"/>
        <w:spacing w:after="0"/>
        <w:ind w:left="567" w:hanging="567"/>
        <w:jc w:val="left"/>
        <w:rPr>
          <w:rFonts w:eastAsiaTheme="minorHAnsi" w:cs="AdvPS6F00"/>
          <w:color w:val="231F20"/>
          <w:szCs w:val="18"/>
          <w:lang w:val="en-US" w:eastAsia="en-US"/>
        </w:rPr>
      </w:pPr>
      <w:r w:rsidRPr="004933AA">
        <w:rPr>
          <w:rFonts w:eastAsiaTheme="minorHAnsi" w:cs="AdvPS6F00"/>
          <w:color w:val="231F20"/>
          <w:szCs w:val="18"/>
          <w:lang w:val="en-US" w:eastAsia="en-US"/>
        </w:rPr>
        <w:t xml:space="preserve">Bennett, R. and </w:t>
      </w:r>
      <w:proofErr w:type="spellStart"/>
      <w:r w:rsidRPr="004933AA">
        <w:rPr>
          <w:rFonts w:eastAsiaTheme="minorHAnsi" w:cs="AdvPS6F00"/>
          <w:color w:val="231F20"/>
          <w:szCs w:val="18"/>
          <w:lang w:val="en-US" w:eastAsia="en-US"/>
        </w:rPr>
        <w:t>Blaney</w:t>
      </w:r>
      <w:proofErr w:type="spellEnd"/>
      <w:r w:rsidRPr="004933AA">
        <w:rPr>
          <w:rFonts w:eastAsiaTheme="minorHAnsi" w:cs="AdvPS6F00"/>
          <w:color w:val="231F20"/>
          <w:szCs w:val="18"/>
          <w:lang w:val="en-US" w:eastAsia="en-US"/>
        </w:rPr>
        <w:t xml:space="preserve">, R. (2002). </w:t>
      </w:r>
      <w:proofErr w:type="gramStart"/>
      <w:r w:rsidRPr="004933AA">
        <w:rPr>
          <w:rFonts w:eastAsiaTheme="minorHAnsi" w:cs="AdvPS6F00"/>
          <w:color w:val="231F20"/>
          <w:szCs w:val="18"/>
          <w:lang w:val="en-US" w:eastAsia="en-US"/>
        </w:rPr>
        <w:t>Social consensus, moral intensity and willingness to pay</w:t>
      </w:r>
      <w:r>
        <w:rPr>
          <w:rFonts w:eastAsiaTheme="minorHAnsi" w:cs="AdvPS6F00"/>
          <w:color w:val="231F20"/>
          <w:szCs w:val="18"/>
          <w:lang w:val="en-US" w:eastAsia="en-US"/>
        </w:rPr>
        <w:t xml:space="preserve"> </w:t>
      </w:r>
      <w:r w:rsidRPr="004933AA">
        <w:rPr>
          <w:rFonts w:eastAsiaTheme="minorHAnsi" w:cs="AdvPS6F00"/>
          <w:color w:val="231F20"/>
          <w:szCs w:val="18"/>
          <w:lang w:val="en-US" w:eastAsia="en-US"/>
        </w:rPr>
        <w:t>to address a farm animal welfare issue.</w:t>
      </w:r>
      <w:proofErr w:type="gramEnd"/>
      <w:r w:rsidRPr="004933AA">
        <w:rPr>
          <w:rFonts w:eastAsiaTheme="minorHAnsi" w:cs="AdvPS6F00"/>
          <w:color w:val="231F20"/>
          <w:szCs w:val="18"/>
          <w:lang w:val="en-US" w:eastAsia="en-US"/>
        </w:rPr>
        <w:t xml:space="preserve"> </w:t>
      </w:r>
      <w:proofErr w:type="gramStart"/>
      <w:r w:rsidRPr="004933AA">
        <w:rPr>
          <w:rFonts w:eastAsiaTheme="minorHAnsi" w:cs="AdvPS6F00"/>
          <w:i/>
          <w:color w:val="231F20"/>
          <w:szCs w:val="18"/>
          <w:lang w:val="en-US" w:eastAsia="en-US"/>
        </w:rPr>
        <w:t>Journal of Economic Psychology</w:t>
      </w:r>
      <w:r w:rsidRPr="004933AA">
        <w:rPr>
          <w:rFonts w:eastAsiaTheme="minorHAnsi" w:cs="AdvPS6F00"/>
          <w:color w:val="231F20"/>
          <w:szCs w:val="18"/>
          <w:lang w:val="en-US" w:eastAsia="en-US"/>
        </w:rPr>
        <w:t xml:space="preserve"> 23: 501–520.</w:t>
      </w:r>
      <w:proofErr w:type="gramEnd"/>
    </w:p>
    <w:p w:rsidR="0062321F" w:rsidRPr="009D100A" w:rsidRDefault="0062321F" w:rsidP="0062321F">
      <w:pPr>
        <w:widowControl w:val="0"/>
        <w:tabs>
          <w:tab w:val="left" w:pos="567"/>
        </w:tabs>
        <w:autoSpaceDE w:val="0"/>
        <w:autoSpaceDN w:val="0"/>
        <w:adjustRightInd w:val="0"/>
        <w:spacing w:after="0"/>
        <w:ind w:left="567" w:hanging="567"/>
        <w:jc w:val="left"/>
        <w:rPr>
          <w:rFonts w:eastAsiaTheme="minorHAnsi" w:cs="Arial"/>
          <w:szCs w:val="20"/>
          <w:lang w:val="en-US" w:eastAsia="en-US"/>
        </w:rPr>
      </w:pPr>
      <w:proofErr w:type="spellStart"/>
      <w:r w:rsidRPr="009D100A">
        <w:rPr>
          <w:rFonts w:eastAsiaTheme="minorHAnsi" w:cs="Arial"/>
          <w:szCs w:val="20"/>
          <w:lang w:val="en-US" w:eastAsia="en-US"/>
        </w:rPr>
        <w:t>Beyers</w:t>
      </w:r>
      <w:proofErr w:type="spellEnd"/>
      <w:r w:rsidRPr="009D100A">
        <w:rPr>
          <w:rFonts w:eastAsiaTheme="minorHAnsi" w:cs="Arial"/>
          <w:szCs w:val="20"/>
          <w:lang w:val="en-US" w:eastAsia="en-US"/>
        </w:rPr>
        <w:t xml:space="preserve">, J. and </w:t>
      </w:r>
      <w:proofErr w:type="spellStart"/>
      <w:r w:rsidRPr="009D100A">
        <w:rPr>
          <w:rFonts w:eastAsiaTheme="minorHAnsi" w:cs="Arial"/>
          <w:szCs w:val="20"/>
          <w:lang w:val="en-US" w:eastAsia="en-US"/>
        </w:rPr>
        <w:t>Kerremans</w:t>
      </w:r>
      <w:proofErr w:type="spellEnd"/>
      <w:r w:rsidRPr="009D100A">
        <w:rPr>
          <w:rFonts w:eastAsiaTheme="minorHAnsi" w:cs="Arial"/>
          <w:szCs w:val="20"/>
          <w:lang w:val="en-US" w:eastAsia="en-US"/>
        </w:rPr>
        <w:t xml:space="preserve">, M, 2004, “Bureaucrats, politicians and societal interests: How is European Policy Making </w:t>
      </w:r>
      <w:proofErr w:type="spellStart"/>
      <w:r w:rsidRPr="009D100A">
        <w:rPr>
          <w:rFonts w:eastAsiaTheme="minorHAnsi" w:cs="Arial"/>
          <w:szCs w:val="20"/>
          <w:lang w:val="en-US" w:eastAsia="en-US"/>
        </w:rPr>
        <w:t>Politicised</w:t>
      </w:r>
      <w:proofErr w:type="spellEnd"/>
      <w:proofErr w:type="gramStart"/>
      <w:r w:rsidRPr="009D100A">
        <w:rPr>
          <w:rFonts w:eastAsiaTheme="minorHAnsi" w:cs="Arial"/>
          <w:szCs w:val="20"/>
          <w:lang w:val="en-US" w:eastAsia="en-US"/>
        </w:rPr>
        <w:t>?,</w:t>
      </w:r>
      <w:proofErr w:type="gramEnd"/>
      <w:r w:rsidRPr="009D100A">
        <w:rPr>
          <w:rFonts w:eastAsiaTheme="minorHAnsi" w:cs="Arial"/>
          <w:szCs w:val="20"/>
          <w:lang w:val="en-US" w:eastAsia="en-US"/>
        </w:rPr>
        <w:t xml:space="preserve"> </w:t>
      </w:r>
      <w:r w:rsidRPr="009D100A">
        <w:rPr>
          <w:rStyle w:val="site-title"/>
          <w:i/>
        </w:rPr>
        <w:t xml:space="preserve">Comparative Political Studies, </w:t>
      </w:r>
      <w:r w:rsidRPr="009D100A">
        <w:rPr>
          <w:rStyle w:val="cit-print-date"/>
        </w:rPr>
        <w:t xml:space="preserve">December, </w:t>
      </w:r>
      <w:r w:rsidRPr="009D100A">
        <w:rPr>
          <w:rStyle w:val="cit-vol"/>
        </w:rPr>
        <w:t>37</w:t>
      </w:r>
      <w:r w:rsidRPr="009D100A">
        <w:rPr>
          <w:rStyle w:val="cit-sepcit-sep-after-article-vol"/>
        </w:rPr>
        <w:t xml:space="preserve">: </w:t>
      </w:r>
      <w:r w:rsidRPr="009D100A">
        <w:rPr>
          <w:rStyle w:val="cit-first-page"/>
        </w:rPr>
        <w:t>1119</w:t>
      </w:r>
      <w:r w:rsidRPr="009D100A">
        <w:rPr>
          <w:rStyle w:val="cit-sep"/>
        </w:rPr>
        <w:t>-</w:t>
      </w:r>
      <w:r w:rsidRPr="009D100A">
        <w:rPr>
          <w:rStyle w:val="cit-last-page"/>
        </w:rPr>
        <w:t>1150</w:t>
      </w:r>
    </w:p>
    <w:p w:rsidR="0062321F" w:rsidRPr="009D100A" w:rsidRDefault="0062321F" w:rsidP="0062321F">
      <w:pPr>
        <w:widowControl w:val="0"/>
        <w:tabs>
          <w:tab w:val="left" w:pos="567"/>
        </w:tabs>
        <w:autoSpaceDE w:val="0"/>
        <w:autoSpaceDN w:val="0"/>
        <w:adjustRightInd w:val="0"/>
        <w:spacing w:after="0"/>
        <w:ind w:left="567" w:hanging="567"/>
        <w:jc w:val="left"/>
        <w:rPr>
          <w:rFonts w:cs="Helvetica"/>
          <w:szCs w:val="18"/>
          <w:u w:color="0018EA"/>
        </w:rPr>
      </w:pPr>
      <w:proofErr w:type="spellStart"/>
      <w:r w:rsidRPr="009D100A">
        <w:t>Blandford</w:t>
      </w:r>
      <w:proofErr w:type="spellEnd"/>
      <w:r w:rsidRPr="009D100A">
        <w:t xml:space="preserve">, D., Bureau, J.C., </w:t>
      </w:r>
      <w:proofErr w:type="spellStart"/>
      <w:r w:rsidRPr="009D100A">
        <w:t>Fulponi</w:t>
      </w:r>
      <w:proofErr w:type="spellEnd"/>
      <w:r w:rsidRPr="009D100A">
        <w:t xml:space="preserve">, L. and Henson, S. (2002). </w:t>
      </w:r>
      <w:proofErr w:type="gramStart"/>
      <w:r w:rsidRPr="009D100A">
        <w:t>Potential Implications of Animal Welfare Concerns and Public Policies in Industrialized Countries for International Trade.</w:t>
      </w:r>
      <w:proofErr w:type="gramEnd"/>
      <w:r w:rsidRPr="009D100A">
        <w:t xml:space="preserve"> In: B. </w:t>
      </w:r>
      <w:proofErr w:type="spellStart"/>
      <w:r w:rsidRPr="009D100A">
        <w:t>Krissoff</w:t>
      </w:r>
      <w:proofErr w:type="spellEnd"/>
      <w:r w:rsidRPr="009D100A">
        <w:t xml:space="preserve">, M. </w:t>
      </w:r>
      <w:proofErr w:type="spellStart"/>
      <w:r w:rsidRPr="009D100A">
        <w:t>Bohman</w:t>
      </w:r>
      <w:proofErr w:type="spellEnd"/>
      <w:r w:rsidRPr="009D100A">
        <w:t xml:space="preserve">, and J.A. Caswell (eds.), </w:t>
      </w:r>
      <w:r w:rsidRPr="009D100A">
        <w:rPr>
          <w:i/>
        </w:rPr>
        <w:t>Global Food Trade and Consumer Demand for Quality</w:t>
      </w:r>
      <w:r w:rsidRPr="009D100A">
        <w:t xml:space="preserve">. New York: </w:t>
      </w:r>
      <w:proofErr w:type="spellStart"/>
      <w:r w:rsidRPr="009D100A">
        <w:t>Kluwer</w:t>
      </w:r>
      <w:proofErr w:type="spellEnd"/>
      <w:r w:rsidRPr="009D100A">
        <w:t xml:space="preserve">. </w:t>
      </w:r>
    </w:p>
    <w:p w:rsidR="0062321F" w:rsidRPr="009D100A" w:rsidRDefault="0062321F" w:rsidP="0062321F">
      <w:pPr>
        <w:widowControl w:val="0"/>
        <w:autoSpaceDE w:val="0"/>
        <w:autoSpaceDN w:val="0"/>
        <w:adjustRightInd w:val="0"/>
        <w:spacing w:after="0"/>
        <w:ind w:left="567" w:hanging="567"/>
        <w:rPr>
          <w:rFonts w:cs="Helvetica"/>
          <w:szCs w:val="18"/>
          <w:u w:color="0018EA"/>
        </w:rPr>
      </w:pPr>
      <w:proofErr w:type="spellStart"/>
      <w:r>
        <w:rPr>
          <w:rFonts w:cs="Helvetica"/>
          <w:szCs w:val="18"/>
          <w:u w:color="0018EA"/>
        </w:rPr>
        <w:t>Blan</w:t>
      </w:r>
      <w:r w:rsidRPr="009D100A">
        <w:rPr>
          <w:rFonts w:cs="Helvetica"/>
          <w:szCs w:val="18"/>
          <w:u w:color="0018EA"/>
        </w:rPr>
        <w:t>ey</w:t>
      </w:r>
      <w:proofErr w:type="spellEnd"/>
      <w:r w:rsidRPr="009D100A">
        <w:rPr>
          <w:rFonts w:cs="Helvetica"/>
          <w:szCs w:val="18"/>
          <w:u w:color="0018EA"/>
        </w:rPr>
        <w:t xml:space="preserve">, R., Common, M. and </w:t>
      </w:r>
      <w:proofErr w:type="spellStart"/>
      <w:r w:rsidRPr="009D100A">
        <w:rPr>
          <w:rFonts w:cs="Helvetica"/>
          <w:szCs w:val="18"/>
          <w:u w:color="0018EA"/>
        </w:rPr>
        <w:t>Quiggin</w:t>
      </w:r>
      <w:proofErr w:type="spellEnd"/>
      <w:r w:rsidRPr="009D100A">
        <w:rPr>
          <w:rFonts w:cs="Helvetica"/>
          <w:szCs w:val="18"/>
          <w:u w:color="0018EA"/>
        </w:rPr>
        <w:t xml:space="preserve">, J. 1995, `Respondents to contingent valuation surveys: consumers or citizens', </w:t>
      </w:r>
      <w:r w:rsidRPr="009D100A">
        <w:rPr>
          <w:rFonts w:cs="Helvetica"/>
          <w:i/>
          <w:szCs w:val="18"/>
          <w:u w:color="0018EA"/>
        </w:rPr>
        <w:t>Australian Journal of Agricultural Economics</w:t>
      </w:r>
      <w:r w:rsidRPr="009D100A">
        <w:rPr>
          <w:rFonts w:cs="Helvetica"/>
          <w:szCs w:val="18"/>
          <w:u w:color="0018EA"/>
        </w:rPr>
        <w:t>, vol. 39, pp. 263-88</w:t>
      </w:r>
    </w:p>
    <w:p w:rsidR="0062321F" w:rsidRPr="009D100A" w:rsidRDefault="0062321F" w:rsidP="0062321F">
      <w:pPr>
        <w:widowControl w:val="0"/>
        <w:autoSpaceDE w:val="0"/>
        <w:autoSpaceDN w:val="0"/>
        <w:adjustRightInd w:val="0"/>
        <w:spacing w:after="0"/>
        <w:ind w:left="567" w:hanging="567"/>
        <w:jc w:val="left"/>
        <w:rPr>
          <w:rFonts w:cs="Calibri"/>
          <w:bCs/>
          <w:szCs w:val="22"/>
        </w:rPr>
      </w:pPr>
      <w:proofErr w:type="spellStart"/>
      <w:r w:rsidRPr="009D100A">
        <w:rPr>
          <w:rFonts w:cs="Calibri"/>
          <w:szCs w:val="28"/>
        </w:rPr>
        <w:t>Cicia</w:t>
      </w:r>
      <w:proofErr w:type="spellEnd"/>
      <w:r w:rsidRPr="009D100A">
        <w:rPr>
          <w:rFonts w:cs="Calibri"/>
          <w:szCs w:val="28"/>
        </w:rPr>
        <w:t xml:space="preserve">, G. and </w:t>
      </w:r>
      <w:proofErr w:type="spellStart"/>
      <w:r w:rsidRPr="009D100A">
        <w:rPr>
          <w:rFonts w:cs="Calibri"/>
          <w:szCs w:val="28"/>
        </w:rPr>
        <w:t>Colantuoni</w:t>
      </w:r>
      <w:proofErr w:type="spellEnd"/>
      <w:r w:rsidRPr="009D100A">
        <w:rPr>
          <w:rFonts w:cs="Calibri"/>
          <w:szCs w:val="28"/>
        </w:rPr>
        <w:t xml:space="preserve">, F., 2010, </w:t>
      </w:r>
      <w:r w:rsidRPr="009D100A">
        <w:rPr>
          <w:rFonts w:cs="Calibri"/>
          <w:bCs/>
          <w:szCs w:val="36"/>
        </w:rPr>
        <w:t xml:space="preserve">Willingness to Pay for Traceable Meat Attributes: A Meta-analysis, </w:t>
      </w:r>
      <w:r w:rsidRPr="009D100A">
        <w:rPr>
          <w:rFonts w:cs="Calibri"/>
          <w:bCs/>
          <w:i/>
          <w:szCs w:val="22"/>
        </w:rPr>
        <w:t>Int. J. Food System Dynamics</w:t>
      </w:r>
      <w:r w:rsidRPr="009D100A">
        <w:rPr>
          <w:rFonts w:cs="Calibri"/>
          <w:bCs/>
          <w:szCs w:val="22"/>
        </w:rPr>
        <w:t>, 3, 252-263</w:t>
      </w:r>
    </w:p>
    <w:p w:rsidR="0062321F" w:rsidRPr="009D100A" w:rsidRDefault="0062321F" w:rsidP="0062321F">
      <w:pPr>
        <w:widowControl w:val="0"/>
        <w:autoSpaceDE w:val="0"/>
        <w:autoSpaceDN w:val="0"/>
        <w:adjustRightInd w:val="0"/>
        <w:spacing w:after="0"/>
        <w:ind w:left="567" w:hanging="567"/>
        <w:jc w:val="left"/>
        <w:rPr>
          <w:rFonts w:cs="Helvetica"/>
          <w:szCs w:val="28"/>
          <w:u w:color="0018EA"/>
        </w:rPr>
      </w:pPr>
      <w:proofErr w:type="spellStart"/>
      <w:r w:rsidRPr="009D100A">
        <w:rPr>
          <w:rFonts w:eastAsiaTheme="minorHAnsi" w:cs="Helvetica"/>
          <w:lang w:val="en-US" w:eastAsia="en-US"/>
        </w:rPr>
        <w:t>Codron</w:t>
      </w:r>
      <w:proofErr w:type="spellEnd"/>
      <w:r w:rsidRPr="009D100A">
        <w:rPr>
          <w:rFonts w:eastAsiaTheme="minorHAnsi" w:cs="Helvetica"/>
          <w:lang w:val="en-US" w:eastAsia="en-US"/>
        </w:rPr>
        <w:t>, J-M, Giraud-</w:t>
      </w:r>
      <w:proofErr w:type="spellStart"/>
      <w:r w:rsidRPr="009D100A">
        <w:rPr>
          <w:rFonts w:eastAsiaTheme="minorHAnsi" w:cs="Helvetica"/>
          <w:lang w:val="en-US" w:eastAsia="en-US"/>
        </w:rPr>
        <w:t>Héraud</w:t>
      </w:r>
      <w:proofErr w:type="gramStart"/>
      <w:r w:rsidRPr="009D100A">
        <w:rPr>
          <w:rFonts w:eastAsiaTheme="minorHAnsi" w:cs="Helvetica"/>
          <w:lang w:val="en-US" w:eastAsia="en-US"/>
        </w:rPr>
        <w:t>,E</w:t>
      </w:r>
      <w:proofErr w:type="spellEnd"/>
      <w:proofErr w:type="gramEnd"/>
      <w:r w:rsidRPr="009D100A">
        <w:rPr>
          <w:rFonts w:eastAsiaTheme="minorHAnsi" w:cs="Helvetica"/>
          <w:lang w:val="en-US" w:eastAsia="en-US"/>
        </w:rPr>
        <w:t xml:space="preserve"> and  </w:t>
      </w:r>
      <w:proofErr w:type="spellStart"/>
      <w:r w:rsidRPr="009D100A">
        <w:rPr>
          <w:rFonts w:eastAsiaTheme="minorHAnsi" w:cs="Helvetica"/>
          <w:lang w:val="en-US" w:eastAsia="en-US"/>
        </w:rPr>
        <w:t>Soler</w:t>
      </w:r>
      <w:proofErr w:type="spellEnd"/>
      <w:r w:rsidRPr="009D100A">
        <w:rPr>
          <w:rFonts w:eastAsiaTheme="minorHAnsi" w:cs="Helvetica"/>
          <w:lang w:val="en-US" w:eastAsia="en-US"/>
        </w:rPr>
        <w:t>, L-G,</w:t>
      </w:r>
      <w:r w:rsidRPr="009D100A">
        <w:rPr>
          <w:rFonts w:eastAsiaTheme="minorHAnsi" w:cs="Helvetica"/>
          <w:szCs w:val="18"/>
          <w:lang w:val="en-US" w:eastAsia="en-US"/>
        </w:rPr>
        <w:t xml:space="preserve"> </w:t>
      </w:r>
      <w:r w:rsidRPr="009D100A">
        <w:rPr>
          <w:rFonts w:eastAsiaTheme="minorHAnsi" w:cs="Helvetica"/>
          <w:szCs w:val="22"/>
          <w:lang w:val="en-US" w:eastAsia="en-US"/>
        </w:rPr>
        <w:t xml:space="preserve"> (2005) </w:t>
      </w:r>
      <w:r w:rsidRPr="009D100A">
        <w:rPr>
          <w:rFonts w:eastAsiaTheme="minorHAnsi" w:cs="Helvetica"/>
          <w:lang w:val="en-US" w:eastAsia="en-US"/>
        </w:rPr>
        <w:t>Minimum quality standards, premium</w:t>
      </w:r>
      <w:r w:rsidRPr="009D100A">
        <w:rPr>
          <w:rFonts w:cs="Calibri"/>
          <w:bCs/>
          <w:szCs w:val="22"/>
        </w:rPr>
        <w:t xml:space="preserve"> </w:t>
      </w:r>
      <w:r w:rsidRPr="009D100A">
        <w:rPr>
          <w:rFonts w:eastAsiaTheme="minorHAnsi" w:cs="Helvetica"/>
          <w:lang w:val="en-US" w:eastAsia="en-US"/>
        </w:rPr>
        <w:t>private labels, and European meat and fresh produce retailing,</w:t>
      </w:r>
      <w:r w:rsidRPr="009D100A">
        <w:rPr>
          <w:rFonts w:eastAsiaTheme="minorHAnsi" w:cs="Helvetica"/>
          <w:szCs w:val="34"/>
          <w:lang w:val="en-US" w:eastAsia="en-US"/>
        </w:rPr>
        <w:t xml:space="preserve"> </w:t>
      </w:r>
      <w:r w:rsidRPr="009D100A">
        <w:rPr>
          <w:rFonts w:eastAsiaTheme="minorHAnsi" w:cs="Helvetica"/>
          <w:szCs w:val="22"/>
          <w:lang w:val="en-US" w:eastAsia="en-US"/>
        </w:rPr>
        <w:t>Food Policy 30) 270–283</w:t>
      </w:r>
      <w:r w:rsidRPr="009D100A">
        <w:rPr>
          <w:rFonts w:cs="Helvetica"/>
          <w:szCs w:val="28"/>
          <w:u w:color="0018EA"/>
        </w:rPr>
        <w:t xml:space="preserve"> </w:t>
      </w:r>
    </w:p>
    <w:p w:rsidR="0062321F" w:rsidRPr="009D100A" w:rsidRDefault="0062321F" w:rsidP="0062321F">
      <w:pPr>
        <w:widowControl w:val="0"/>
        <w:autoSpaceDE w:val="0"/>
        <w:autoSpaceDN w:val="0"/>
        <w:adjustRightInd w:val="0"/>
        <w:spacing w:after="0"/>
        <w:ind w:left="567" w:hanging="567"/>
        <w:jc w:val="left"/>
        <w:rPr>
          <w:rFonts w:cs="Calibri"/>
          <w:bCs/>
          <w:szCs w:val="22"/>
        </w:rPr>
      </w:pPr>
      <w:r w:rsidRPr="009D100A">
        <w:rPr>
          <w:rFonts w:cs="Helvetica"/>
          <w:szCs w:val="28"/>
          <w:u w:color="0018EA"/>
        </w:rPr>
        <w:t xml:space="preserve">Curtis, J.A. and McConnell, K.E, 2002, The citizen versus consumer hypothesis: Evidence from a contingent valuation survey, </w:t>
      </w:r>
      <w:r w:rsidRPr="009D100A">
        <w:rPr>
          <w:rFonts w:cs="Helvetica"/>
          <w:i/>
          <w:szCs w:val="22"/>
          <w:u w:color="0018EA"/>
        </w:rPr>
        <w:t>The Australian Journal of Agricultural and Resource Economics</w:t>
      </w:r>
      <w:r w:rsidRPr="009D100A">
        <w:rPr>
          <w:rFonts w:cs="Helvetica"/>
          <w:szCs w:val="22"/>
          <w:u w:color="0018EA"/>
        </w:rPr>
        <w:t>, 46:1, pp. 69-83</w:t>
      </w:r>
    </w:p>
    <w:p w:rsidR="0062321F" w:rsidRPr="009D100A" w:rsidRDefault="0062321F" w:rsidP="0062321F">
      <w:pPr>
        <w:widowControl w:val="0"/>
        <w:autoSpaceDE w:val="0"/>
        <w:autoSpaceDN w:val="0"/>
        <w:adjustRightInd w:val="0"/>
        <w:spacing w:after="0"/>
        <w:ind w:left="567" w:hanging="567"/>
        <w:rPr>
          <w:rFonts w:cs="Helvetica"/>
          <w:szCs w:val="22"/>
          <w:u w:color="0018EA"/>
        </w:rPr>
      </w:pPr>
      <w:r w:rsidRPr="009D100A">
        <w:rPr>
          <w:rFonts w:cs="Helvetica"/>
          <w:szCs w:val="18"/>
          <w:u w:color="0018EA"/>
        </w:rPr>
        <w:t xml:space="preserve">Diamond, P.A. and </w:t>
      </w:r>
      <w:proofErr w:type="spellStart"/>
      <w:r w:rsidRPr="009D100A">
        <w:rPr>
          <w:rFonts w:cs="Helvetica"/>
          <w:szCs w:val="18"/>
          <w:u w:color="0018EA"/>
        </w:rPr>
        <w:t>Hausman</w:t>
      </w:r>
      <w:proofErr w:type="spellEnd"/>
      <w:r w:rsidRPr="009D100A">
        <w:rPr>
          <w:rFonts w:cs="Helvetica"/>
          <w:szCs w:val="18"/>
          <w:u w:color="0018EA"/>
        </w:rPr>
        <w:t>, J.A. 1994, `Contingent valuation: is some number better than no number?</w:t>
      </w:r>
      <w:proofErr w:type="gramStart"/>
      <w:r w:rsidRPr="009D100A">
        <w:rPr>
          <w:rFonts w:cs="Helvetica"/>
          <w:szCs w:val="18"/>
          <w:u w:color="0018EA"/>
        </w:rPr>
        <w:t>',</w:t>
      </w:r>
      <w:proofErr w:type="gramEnd"/>
      <w:r w:rsidRPr="009D100A">
        <w:rPr>
          <w:rFonts w:cs="Helvetica"/>
          <w:szCs w:val="18"/>
          <w:u w:color="0018EA"/>
        </w:rPr>
        <w:t xml:space="preserve"> </w:t>
      </w:r>
      <w:r w:rsidRPr="009D100A">
        <w:rPr>
          <w:rFonts w:cs="Helvetica"/>
          <w:i/>
          <w:szCs w:val="18"/>
          <w:u w:color="0018EA"/>
        </w:rPr>
        <w:t>Journal of Economic Perspectives</w:t>
      </w:r>
      <w:r w:rsidRPr="009D100A">
        <w:rPr>
          <w:rFonts w:cs="Helvetica"/>
          <w:szCs w:val="18"/>
          <w:u w:color="0018EA"/>
        </w:rPr>
        <w:t>, vol. 8, pp. 45-64.</w:t>
      </w:r>
    </w:p>
    <w:p w:rsidR="0062321F" w:rsidRPr="009D100A" w:rsidRDefault="0062321F" w:rsidP="0062321F">
      <w:pPr>
        <w:widowControl w:val="0"/>
        <w:autoSpaceDE w:val="0"/>
        <w:autoSpaceDN w:val="0"/>
        <w:adjustRightInd w:val="0"/>
        <w:spacing w:after="0"/>
        <w:ind w:left="567" w:hanging="567"/>
        <w:jc w:val="left"/>
        <w:rPr>
          <w:rFonts w:eastAsiaTheme="minorHAnsi" w:cs="Arial"/>
          <w:szCs w:val="20"/>
          <w:lang w:val="en-US" w:eastAsia="en-US"/>
        </w:rPr>
      </w:pPr>
      <w:proofErr w:type="spellStart"/>
      <w:r w:rsidRPr="009D100A">
        <w:rPr>
          <w:rFonts w:eastAsiaTheme="minorHAnsi" w:cs="Arial"/>
          <w:szCs w:val="20"/>
          <w:lang w:val="en-US" w:eastAsia="en-US"/>
        </w:rPr>
        <w:t>Eurobarometer</w:t>
      </w:r>
      <w:proofErr w:type="spellEnd"/>
      <w:r w:rsidRPr="009D100A">
        <w:rPr>
          <w:rFonts w:eastAsiaTheme="minorHAnsi" w:cs="Arial"/>
          <w:szCs w:val="20"/>
          <w:lang w:val="en-US" w:eastAsia="en-US"/>
        </w:rPr>
        <w:t xml:space="preserve">, 2007, Attitudes of EU Citizens towards Animal Welfare, </w:t>
      </w:r>
      <w:r w:rsidRPr="009D100A">
        <w:rPr>
          <w:rFonts w:eastAsiaTheme="minorHAnsi" w:cs="Arial"/>
          <w:i/>
          <w:szCs w:val="20"/>
          <w:lang w:val="en-US" w:eastAsia="en-US"/>
        </w:rPr>
        <w:t xml:space="preserve">Special </w:t>
      </w:r>
      <w:proofErr w:type="spellStart"/>
      <w:r w:rsidRPr="009D100A">
        <w:rPr>
          <w:rFonts w:eastAsiaTheme="minorHAnsi" w:cs="Arial"/>
          <w:i/>
          <w:szCs w:val="20"/>
          <w:lang w:val="en-US" w:eastAsia="en-US"/>
        </w:rPr>
        <w:t>Eurobarometer</w:t>
      </w:r>
      <w:proofErr w:type="spellEnd"/>
      <w:r w:rsidRPr="009D100A">
        <w:rPr>
          <w:rFonts w:eastAsiaTheme="minorHAnsi" w:cs="Arial"/>
          <w:szCs w:val="20"/>
          <w:lang w:val="en-US" w:eastAsia="en-US"/>
        </w:rPr>
        <w:t xml:space="preserve">, 270/Wave 66.1, March, European Commission, Brussels </w:t>
      </w:r>
    </w:p>
    <w:p w:rsidR="0062321F" w:rsidRPr="009D100A" w:rsidRDefault="0062321F" w:rsidP="0062321F">
      <w:pPr>
        <w:widowControl w:val="0"/>
        <w:autoSpaceDE w:val="0"/>
        <w:autoSpaceDN w:val="0"/>
        <w:adjustRightInd w:val="0"/>
        <w:spacing w:after="0"/>
        <w:ind w:left="567" w:hanging="567"/>
        <w:jc w:val="left"/>
        <w:rPr>
          <w:rFonts w:eastAsiaTheme="minorHAnsi" w:cs="Arial"/>
          <w:szCs w:val="20"/>
          <w:lang w:val="en-US" w:eastAsia="en-US"/>
        </w:rPr>
      </w:pPr>
      <w:r w:rsidRPr="009D100A">
        <w:rPr>
          <w:rFonts w:eastAsiaTheme="minorHAnsi" w:cs="Arial"/>
          <w:szCs w:val="20"/>
          <w:lang w:val="en-US" w:eastAsia="en-US"/>
        </w:rPr>
        <w:t xml:space="preserve">FAWC (UK), 2009, </w:t>
      </w:r>
      <w:r w:rsidRPr="009D100A">
        <w:rPr>
          <w:rFonts w:eastAsiaTheme="minorHAnsi" w:cs="Arial"/>
          <w:i/>
          <w:szCs w:val="20"/>
          <w:lang w:val="en-US" w:eastAsia="en-US"/>
        </w:rPr>
        <w:t>Farm Animal Welfare in Great Britain: Past, Present and Future</w:t>
      </w:r>
      <w:r w:rsidRPr="009D100A">
        <w:rPr>
          <w:rFonts w:eastAsiaTheme="minorHAnsi" w:cs="Arial"/>
          <w:szCs w:val="20"/>
          <w:lang w:val="en-US" w:eastAsia="en-US"/>
        </w:rPr>
        <w:t xml:space="preserve">, October, Farm Animal Welfare Council, </w:t>
      </w:r>
      <w:proofErr w:type="spellStart"/>
      <w:r w:rsidRPr="009D100A">
        <w:rPr>
          <w:rFonts w:eastAsiaTheme="minorHAnsi" w:cs="Arial"/>
          <w:szCs w:val="20"/>
          <w:lang w:val="en-US" w:eastAsia="en-US"/>
        </w:rPr>
        <w:t>Millbank</w:t>
      </w:r>
      <w:proofErr w:type="spellEnd"/>
      <w:r w:rsidRPr="009D100A">
        <w:rPr>
          <w:rFonts w:eastAsiaTheme="minorHAnsi" w:cs="Arial"/>
          <w:szCs w:val="20"/>
          <w:lang w:val="en-US" w:eastAsia="en-US"/>
        </w:rPr>
        <w:t>, London (available at: http://www.fawc.org.uk/reports.htm)</w:t>
      </w:r>
    </w:p>
    <w:p w:rsidR="0062321F" w:rsidRPr="009D100A" w:rsidRDefault="0062321F" w:rsidP="0062321F">
      <w:pPr>
        <w:widowControl w:val="0"/>
        <w:autoSpaceDE w:val="0"/>
        <w:autoSpaceDN w:val="0"/>
        <w:adjustRightInd w:val="0"/>
        <w:spacing w:after="0"/>
        <w:ind w:left="567" w:hanging="567"/>
        <w:jc w:val="left"/>
      </w:pPr>
      <w:r w:rsidRPr="009D100A">
        <w:rPr>
          <w:rFonts w:eastAsiaTheme="minorHAnsi" w:cs="Calibri"/>
          <w:szCs w:val="28"/>
          <w:lang w:val="en-US" w:eastAsia="en-US"/>
        </w:rPr>
        <w:t>Franz, A., von Meyer, M. and Spiller, A., 2010, “</w:t>
      </w:r>
      <w:r w:rsidRPr="009D100A">
        <w:rPr>
          <w:rFonts w:eastAsiaTheme="minorHAnsi" w:cs="Calibri-Bold"/>
          <w:bCs/>
          <w:szCs w:val="36"/>
          <w:lang w:val="en-US" w:eastAsia="en-US"/>
        </w:rPr>
        <w:t>Prospects for a European Animal Welfare Label from the German Perspective: Supply Chain Barriers”,</w:t>
      </w:r>
      <w:r w:rsidRPr="009D100A">
        <w:rPr>
          <w:rFonts w:eastAsiaTheme="minorHAnsi" w:cs="Calibri-Bold"/>
          <w:bCs/>
          <w:szCs w:val="22"/>
          <w:lang w:val="en-US" w:eastAsia="en-US"/>
        </w:rPr>
        <w:t xml:space="preserve"> </w:t>
      </w:r>
      <w:r w:rsidRPr="009D100A">
        <w:rPr>
          <w:rFonts w:eastAsiaTheme="minorHAnsi" w:cs="Calibri-Bold"/>
          <w:bCs/>
          <w:i/>
          <w:szCs w:val="22"/>
          <w:lang w:val="en-US" w:eastAsia="en-US"/>
        </w:rPr>
        <w:t xml:space="preserve">Int. J. Food System Dynamics </w:t>
      </w:r>
      <w:r w:rsidRPr="009D100A">
        <w:rPr>
          <w:rFonts w:eastAsiaTheme="minorHAnsi" w:cs="Calibri-Bold"/>
          <w:bCs/>
          <w:szCs w:val="22"/>
          <w:lang w:val="en-US" w:eastAsia="en-US"/>
        </w:rPr>
        <w:t>4, 318</w:t>
      </w:r>
      <w:r w:rsidRPr="009D100A">
        <w:rPr>
          <w:rFonts w:ascii="Calibri-Bold" w:eastAsiaTheme="minorHAnsi" w:hAnsi="Calibri-Bold" w:cs="Calibri-Bold"/>
          <w:bCs/>
          <w:szCs w:val="22"/>
          <w:lang w:val="en-US" w:eastAsia="en-US"/>
        </w:rPr>
        <w:t>‐</w:t>
      </w:r>
      <w:r w:rsidRPr="009D100A">
        <w:rPr>
          <w:rFonts w:eastAsiaTheme="minorHAnsi" w:cs="Calibri-Bold"/>
          <w:bCs/>
          <w:szCs w:val="22"/>
          <w:lang w:val="en-US" w:eastAsia="en-US"/>
        </w:rPr>
        <w:t>329</w:t>
      </w:r>
      <w:r w:rsidRPr="009D100A">
        <w:t xml:space="preserve"> </w:t>
      </w:r>
    </w:p>
    <w:p w:rsidR="0062321F" w:rsidRPr="009D100A" w:rsidRDefault="0062321F" w:rsidP="0062321F">
      <w:pPr>
        <w:widowControl w:val="0"/>
        <w:autoSpaceDE w:val="0"/>
        <w:autoSpaceDN w:val="0"/>
        <w:adjustRightInd w:val="0"/>
        <w:spacing w:after="0"/>
        <w:ind w:left="567" w:hanging="567"/>
        <w:jc w:val="left"/>
        <w:rPr>
          <w:szCs w:val="22"/>
        </w:rPr>
      </w:pPr>
      <w:proofErr w:type="spellStart"/>
      <w:r w:rsidRPr="009D100A">
        <w:t>Follesdal</w:t>
      </w:r>
      <w:proofErr w:type="spellEnd"/>
      <w:r w:rsidRPr="009D100A">
        <w:t xml:space="preserve">, A. and </w:t>
      </w:r>
      <w:proofErr w:type="spellStart"/>
      <w:r w:rsidRPr="009D100A">
        <w:t>Hix</w:t>
      </w:r>
      <w:proofErr w:type="spellEnd"/>
      <w:r w:rsidRPr="009D100A">
        <w:t xml:space="preserve">, S., 2006, “Why There is a Democratic Deficit in the EU: A Response to </w:t>
      </w:r>
      <w:proofErr w:type="spellStart"/>
      <w:r w:rsidRPr="009D100A">
        <w:t>Majone</w:t>
      </w:r>
      <w:proofErr w:type="spellEnd"/>
      <w:r w:rsidRPr="009D100A">
        <w:t xml:space="preserve"> and </w:t>
      </w:r>
      <w:proofErr w:type="spellStart"/>
      <w:r w:rsidRPr="009D100A">
        <w:t>Moravcsik</w:t>
      </w:r>
      <w:proofErr w:type="spellEnd"/>
      <w:r w:rsidRPr="009D100A">
        <w:t xml:space="preserve">. </w:t>
      </w:r>
      <w:proofErr w:type="gramStart"/>
      <w:r w:rsidRPr="009D100A">
        <w:rPr>
          <w:i/>
        </w:rPr>
        <w:t>Journal of Common Market Studies</w:t>
      </w:r>
      <w:r w:rsidRPr="009D100A">
        <w:t>, 44: 533–562.</w:t>
      </w:r>
      <w:proofErr w:type="gramEnd"/>
      <w:r w:rsidRPr="009D100A">
        <w:t xml:space="preserve"> </w:t>
      </w:r>
      <w:proofErr w:type="spellStart"/>
      <w:proofErr w:type="gramStart"/>
      <w:r w:rsidRPr="009D100A">
        <w:rPr>
          <w:szCs w:val="22"/>
        </w:rPr>
        <w:t>doi</w:t>
      </w:r>
      <w:proofErr w:type="spellEnd"/>
      <w:proofErr w:type="gramEnd"/>
      <w:r w:rsidRPr="009D100A">
        <w:rPr>
          <w:szCs w:val="22"/>
        </w:rPr>
        <w:t>: 10.1111/j.1468-5965.2006.00650.x</w:t>
      </w:r>
    </w:p>
    <w:p w:rsidR="0062321F" w:rsidRPr="009D100A" w:rsidRDefault="0062321F" w:rsidP="0062321F">
      <w:pPr>
        <w:widowControl w:val="0"/>
        <w:autoSpaceDE w:val="0"/>
        <w:autoSpaceDN w:val="0"/>
        <w:adjustRightInd w:val="0"/>
        <w:spacing w:after="0"/>
        <w:ind w:left="567" w:hanging="567"/>
        <w:jc w:val="left"/>
      </w:pPr>
      <w:proofErr w:type="gramStart"/>
      <w:r w:rsidRPr="009D100A">
        <w:rPr>
          <w:szCs w:val="22"/>
        </w:rPr>
        <w:t>Harper, G. and Henson, S. (2001).</w:t>
      </w:r>
      <w:proofErr w:type="gramEnd"/>
      <w:r w:rsidRPr="009D100A">
        <w:rPr>
          <w:szCs w:val="22"/>
        </w:rPr>
        <w:t xml:space="preserve"> Consumer Concerns about Animal Welfare and the Impact on Food Choice. Final Report EU Fair CT98-3678, Centre for Food Economics Research, University of Reading.</w:t>
      </w:r>
      <w:r w:rsidRPr="009D100A">
        <w:t xml:space="preserve"> </w:t>
      </w:r>
    </w:p>
    <w:p w:rsidR="0062321F" w:rsidRPr="009D100A" w:rsidRDefault="0062321F" w:rsidP="0062321F">
      <w:pPr>
        <w:widowControl w:val="0"/>
        <w:autoSpaceDE w:val="0"/>
        <w:autoSpaceDN w:val="0"/>
        <w:adjustRightInd w:val="0"/>
        <w:spacing w:after="0"/>
        <w:ind w:left="567" w:hanging="567"/>
        <w:jc w:val="left"/>
        <w:rPr>
          <w:i/>
          <w:szCs w:val="22"/>
        </w:rPr>
      </w:pPr>
      <w:r w:rsidRPr="009D100A">
        <w:t xml:space="preserve">Harvey, D. R., 2008, “A Conjecture on the Nature of Social Systems”, </w:t>
      </w:r>
      <w:r w:rsidRPr="009D100A">
        <w:rPr>
          <w:rFonts w:eastAsiaTheme="minorHAnsi" w:cs="Arial"/>
          <w:i/>
          <w:szCs w:val="16"/>
          <w:lang w:val="en-US" w:eastAsia="en-US"/>
        </w:rPr>
        <w:t>Twenty-First Century Society</w:t>
      </w:r>
      <w:r w:rsidRPr="009D100A">
        <w:rPr>
          <w:rFonts w:eastAsiaTheme="minorHAnsi" w:cs="Arial"/>
          <w:szCs w:val="16"/>
          <w:lang w:val="en-US" w:eastAsia="en-US"/>
        </w:rPr>
        <w:t>, (Journal of the Academy of Social Sciences) 3:1, 87 - 108</w:t>
      </w:r>
      <w:r w:rsidRPr="009D100A">
        <w:rPr>
          <w:u w:val="single"/>
        </w:rPr>
        <w:t xml:space="preserve"> (</w:t>
      </w:r>
      <w:r w:rsidRPr="009D100A">
        <w:rPr>
          <w:rFonts w:eastAsiaTheme="minorHAnsi" w:cs="Arial"/>
          <w:szCs w:val="16"/>
          <w:lang w:val="en-US" w:eastAsia="en-US"/>
        </w:rPr>
        <w:t>DOI: 10.1080/17450140701749197</w:t>
      </w:r>
    </w:p>
    <w:p w:rsidR="0062321F" w:rsidRPr="009D100A" w:rsidRDefault="0062321F" w:rsidP="0062321F">
      <w:pPr>
        <w:widowControl w:val="0"/>
        <w:autoSpaceDE w:val="0"/>
        <w:autoSpaceDN w:val="0"/>
        <w:adjustRightInd w:val="0"/>
        <w:spacing w:after="0"/>
        <w:ind w:left="567" w:hanging="567"/>
        <w:jc w:val="left"/>
      </w:pPr>
      <w:r w:rsidRPr="009D100A">
        <w:rPr>
          <w:szCs w:val="22"/>
        </w:rPr>
        <w:t xml:space="preserve">Hubbard C, </w:t>
      </w:r>
      <w:proofErr w:type="spellStart"/>
      <w:r w:rsidRPr="009D100A">
        <w:rPr>
          <w:szCs w:val="22"/>
        </w:rPr>
        <w:t>Bourlakis</w:t>
      </w:r>
      <w:proofErr w:type="spellEnd"/>
      <w:r w:rsidRPr="009D100A">
        <w:rPr>
          <w:szCs w:val="22"/>
        </w:rPr>
        <w:t xml:space="preserve"> M and </w:t>
      </w:r>
      <w:proofErr w:type="spellStart"/>
      <w:r w:rsidRPr="009D100A">
        <w:rPr>
          <w:szCs w:val="22"/>
        </w:rPr>
        <w:t>Garrod</w:t>
      </w:r>
      <w:proofErr w:type="spellEnd"/>
      <w:r w:rsidRPr="009D100A">
        <w:rPr>
          <w:szCs w:val="22"/>
        </w:rPr>
        <w:t xml:space="preserve"> G  (2007) </w:t>
      </w:r>
      <w:r>
        <w:rPr>
          <w:szCs w:val="22"/>
        </w:rPr>
        <w:t>“</w:t>
      </w:r>
      <w:r w:rsidRPr="009D100A">
        <w:rPr>
          <w:szCs w:val="22"/>
        </w:rPr>
        <w:t>Pig in the middle: farmers and the delivery of farm animal welfare standards.</w:t>
      </w:r>
      <w:r>
        <w:rPr>
          <w:szCs w:val="22"/>
        </w:rPr>
        <w:t>”</w:t>
      </w:r>
      <w:r w:rsidRPr="009D100A">
        <w:rPr>
          <w:szCs w:val="22"/>
        </w:rPr>
        <w:t xml:space="preserve"> </w:t>
      </w:r>
      <w:r w:rsidRPr="009D100A">
        <w:rPr>
          <w:i/>
          <w:szCs w:val="22"/>
        </w:rPr>
        <w:t>British Food Journal</w:t>
      </w:r>
      <w:r w:rsidRPr="009D100A">
        <w:rPr>
          <w:szCs w:val="22"/>
        </w:rPr>
        <w:t xml:space="preserve"> 109: 919-931</w:t>
      </w:r>
      <w:r w:rsidRPr="009D100A">
        <w:t xml:space="preserve"> </w:t>
      </w:r>
    </w:p>
    <w:p w:rsidR="0062321F" w:rsidRPr="004933AA" w:rsidRDefault="0062321F" w:rsidP="0062321F">
      <w:pPr>
        <w:widowControl w:val="0"/>
        <w:autoSpaceDE w:val="0"/>
        <w:autoSpaceDN w:val="0"/>
        <w:adjustRightInd w:val="0"/>
        <w:spacing w:after="0"/>
        <w:ind w:left="426" w:hanging="426"/>
        <w:jc w:val="left"/>
        <w:rPr>
          <w:rFonts w:eastAsiaTheme="minorHAnsi" w:cs="Helvetica"/>
          <w:color w:val="231F20"/>
          <w:szCs w:val="32"/>
          <w:lang w:val="en-US" w:eastAsia="en-US"/>
        </w:rPr>
      </w:pPr>
      <w:r w:rsidRPr="009D100A">
        <w:t>Lagerkvist</w:t>
      </w:r>
      <w:r>
        <w:t>, C. J.</w:t>
      </w:r>
      <w:r w:rsidRPr="009D100A">
        <w:t xml:space="preserve"> and Hess</w:t>
      </w:r>
      <w:r>
        <w:t>, S</w:t>
      </w:r>
      <w:r w:rsidRPr="009D100A">
        <w:t xml:space="preserve"> (2011)</w:t>
      </w:r>
      <w:r>
        <w:t xml:space="preserve"> “</w:t>
      </w:r>
      <w:r w:rsidRPr="004933AA">
        <w:rPr>
          <w:rFonts w:eastAsiaTheme="minorHAnsi" w:cs="Helvetica"/>
          <w:color w:val="231F20"/>
          <w:szCs w:val="32"/>
          <w:lang w:val="en-US" w:eastAsia="en-US"/>
        </w:rPr>
        <w:t>A meta-analysis of consumer willingness</w:t>
      </w:r>
      <w:r>
        <w:rPr>
          <w:rFonts w:eastAsiaTheme="minorHAnsi" w:cs="Helvetica"/>
          <w:color w:val="231F20"/>
          <w:szCs w:val="32"/>
          <w:lang w:val="en-US" w:eastAsia="en-US"/>
        </w:rPr>
        <w:t xml:space="preserve"> </w:t>
      </w:r>
      <w:r w:rsidRPr="004933AA">
        <w:rPr>
          <w:rFonts w:eastAsiaTheme="minorHAnsi" w:cs="Helvetica"/>
          <w:color w:val="231F20"/>
          <w:szCs w:val="32"/>
          <w:lang w:val="en-US" w:eastAsia="en-US"/>
        </w:rPr>
        <w:t xml:space="preserve">to pay for farm animal welfare, </w:t>
      </w:r>
      <w:r w:rsidRPr="004933AA">
        <w:rPr>
          <w:rFonts w:eastAsiaTheme="minorHAnsi" w:cs="Times"/>
          <w:i/>
          <w:color w:val="231F20"/>
          <w:szCs w:val="26"/>
          <w:lang w:val="en-US" w:eastAsia="en-US"/>
        </w:rPr>
        <w:t>European Review of Agricultural Economics</w:t>
      </w:r>
      <w:r w:rsidRPr="004933AA">
        <w:rPr>
          <w:rFonts w:eastAsiaTheme="minorHAnsi" w:cs="Times"/>
          <w:color w:val="231F20"/>
          <w:szCs w:val="26"/>
          <w:lang w:val="en-US" w:eastAsia="en-US"/>
        </w:rPr>
        <w:t xml:space="preserve"> </w:t>
      </w:r>
      <w:proofErr w:type="spellStart"/>
      <w:r w:rsidRPr="004933AA">
        <w:rPr>
          <w:rFonts w:eastAsiaTheme="minorHAnsi" w:cs="Times"/>
          <w:color w:val="231F20"/>
          <w:szCs w:val="26"/>
          <w:lang w:val="en-US" w:eastAsia="en-US"/>
        </w:rPr>
        <w:t>Vol</w:t>
      </w:r>
      <w:proofErr w:type="spellEnd"/>
      <w:r w:rsidRPr="004933AA">
        <w:rPr>
          <w:rFonts w:eastAsiaTheme="minorHAnsi" w:cs="Times"/>
          <w:color w:val="231F20"/>
          <w:szCs w:val="26"/>
          <w:lang w:val="en-US" w:eastAsia="en-US"/>
        </w:rPr>
        <w:t xml:space="preserve"> 38 (1) (2011) pp. 55–78</w:t>
      </w:r>
      <w:r>
        <w:rPr>
          <w:rFonts w:eastAsiaTheme="minorHAnsi" w:cs="Helvetica"/>
          <w:color w:val="231F20"/>
          <w:szCs w:val="32"/>
          <w:lang w:val="en-US" w:eastAsia="en-US"/>
        </w:rPr>
        <w:t xml:space="preserve"> </w:t>
      </w:r>
      <w:r w:rsidRPr="004933AA">
        <w:rPr>
          <w:rFonts w:eastAsiaTheme="minorHAnsi" w:cs="Times"/>
          <w:color w:val="231F20"/>
          <w:szCs w:val="26"/>
          <w:lang w:val="en-US" w:eastAsia="en-US"/>
        </w:rPr>
        <w:t>doi</w:t>
      </w:r>
      <w:proofErr w:type="gramStart"/>
      <w:r w:rsidRPr="004933AA">
        <w:rPr>
          <w:rFonts w:eastAsiaTheme="minorHAnsi" w:cs="Times"/>
          <w:color w:val="231F20"/>
          <w:szCs w:val="26"/>
          <w:lang w:val="en-US" w:eastAsia="en-US"/>
        </w:rPr>
        <w:t>:10.1093</w:t>
      </w:r>
      <w:proofErr w:type="gramEnd"/>
      <w:r w:rsidRPr="004933AA">
        <w:rPr>
          <w:rFonts w:eastAsiaTheme="minorHAnsi" w:cs="Times"/>
          <w:color w:val="231F20"/>
          <w:szCs w:val="26"/>
          <w:lang w:val="en-US" w:eastAsia="en-US"/>
        </w:rPr>
        <w:t>/erae/jbq043</w:t>
      </w:r>
    </w:p>
    <w:p w:rsidR="0062321F" w:rsidRPr="009D100A" w:rsidRDefault="0062321F" w:rsidP="0062321F">
      <w:pPr>
        <w:widowControl w:val="0"/>
        <w:autoSpaceDE w:val="0"/>
        <w:autoSpaceDN w:val="0"/>
        <w:adjustRightInd w:val="0"/>
        <w:spacing w:after="0"/>
        <w:ind w:left="567" w:hanging="567"/>
        <w:jc w:val="left"/>
        <w:rPr>
          <w:rFonts w:eastAsiaTheme="minorHAnsi" w:cs="AdvTimes"/>
          <w:szCs w:val="18"/>
          <w:lang w:val="en-US" w:eastAsia="en-US"/>
        </w:rPr>
      </w:pPr>
      <w:r w:rsidRPr="009D100A">
        <w:t xml:space="preserve">Mann, S., 2005, “Ethological farm programmes and the ‘market’ for animal welfare”, </w:t>
      </w:r>
      <w:r w:rsidRPr="009D100A">
        <w:rPr>
          <w:i/>
        </w:rPr>
        <w:t>Journal of Agricultural and Environmental Ethics</w:t>
      </w:r>
      <w:r w:rsidRPr="009D100A">
        <w:t xml:space="preserve">, </w:t>
      </w:r>
      <w:r w:rsidRPr="009D100A">
        <w:rPr>
          <w:rFonts w:eastAsiaTheme="minorHAnsi" w:cs="AdvTimes"/>
          <w:szCs w:val="18"/>
          <w:lang w:val="en-US" w:eastAsia="en-US"/>
        </w:rPr>
        <w:t>18: 369–382, doi10.1007/s10806-005-7049-y</w:t>
      </w:r>
    </w:p>
    <w:p w:rsidR="0062321F" w:rsidRPr="009D100A" w:rsidRDefault="0062321F" w:rsidP="0062321F">
      <w:pPr>
        <w:widowControl w:val="0"/>
        <w:tabs>
          <w:tab w:val="left" w:pos="567"/>
        </w:tabs>
        <w:autoSpaceDE w:val="0"/>
        <w:autoSpaceDN w:val="0"/>
        <w:adjustRightInd w:val="0"/>
        <w:spacing w:after="0"/>
        <w:ind w:left="567" w:hanging="567"/>
        <w:jc w:val="left"/>
      </w:pPr>
      <w:proofErr w:type="spellStart"/>
      <w:proofErr w:type="gramStart"/>
      <w:r w:rsidRPr="009D100A">
        <w:rPr>
          <w:rFonts w:eastAsiaTheme="minorHAnsi" w:cs="Arial"/>
          <w:szCs w:val="20"/>
          <w:lang w:val="en-US" w:eastAsia="en-US"/>
        </w:rPr>
        <w:t>McInerney</w:t>
      </w:r>
      <w:proofErr w:type="spellEnd"/>
      <w:r w:rsidRPr="009D100A">
        <w:rPr>
          <w:rFonts w:eastAsiaTheme="minorHAnsi" w:cs="Arial"/>
          <w:szCs w:val="20"/>
          <w:lang w:val="en-US" w:eastAsia="en-US"/>
        </w:rPr>
        <w:t xml:space="preserve">, J.P. 1991 ‘Economic aspects of the animal welfare issue’, </w:t>
      </w:r>
      <w:r w:rsidRPr="009D100A">
        <w:rPr>
          <w:rFonts w:eastAsiaTheme="minorHAnsi" w:cs="Arial"/>
          <w:i/>
          <w:iCs/>
          <w:szCs w:val="20"/>
          <w:lang w:val="en-US" w:eastAsia="en-US"/>
        </w:rPr>
        <w:t>Proceedings, Society of Veterinary Epidemiology and Preventive Medicine</w:t>
      </w:r>
      <w:r w:rsidRPr="009D100A">
        <w:rPr>
          <w:rFonts w:eastAsiaTheme="minorHAnsi" w:cs="Arial"/>
          <w:szCs w:val="20"/>
          <w:lang w:val="en-US" w:eastAsia="en-US"/>
        </w:rPr>
        <w:t>, London, pp83-91.</w:t>
      </w:r>
      <w:proofErr w:type="gramEnd"/>
      <w:r w:rsidRPr="009D100A">
        <w:t xml:space="preserve"> </w:t>
      </w:r>
    </w:p>
    <w:p w:rsidR="0062321F" w:rsidRPr="009D100A" w:rsidRDefault="0062321F" w:rsidP="0062321F">
      <w:pPr>
        <w:widowControl w:val="0"/>
        <w:tabs>
          <w:tab w:val="left" w:pos="567"/>
        </w:tabs>
        <w:autoSpaceDE w:val="0"/>
        <w:autoSpaceDN w:val="0"/>
        <w:adjustRightInd w:val="0"/>
        <w:spacing w:after="0"/>
        <w:ind w:left="567" w:hanging="567"/>
        <w:jc w:val="left"/>
        <w:rPr>
          <w:i/>
        </w:rPr>
      </w:pPr>
      <w:proofErr w:type="spellStart"/>
      <w:r w:rsidRPr="009D100A">
        <w:t>McVittie</w:t>
      </w:r>
      <w:proofErr w:type="spellEnd"/>
      <w:r w:rsidRPr="009D100A">
        <w:t xml:space="preserve">, A., Moran, D., Sandilands, V. &amp; </w:t>
      </w:r>
      <w:proofErr w:type="spellStart"/>
      <w:r w:rsidRPr="009D100A">
        <w:t>Spaks</w:t>
      </w:r>
      <w:proofErr w:type="spellEnd"/>
      <w:r w:rsidRPr="009D100A">
        <w:t xml:space="preserve">, N. (2006) </w:t>
      </w:r>
      <w:r w:rsidRPr="009D100A">
        <w:rPr>
          <w:i/>
        </w:rPr>
        <w:t xml:space="preserve">Estimating non-market Benefits of Reduced Stocking Density and other Welfare increasing </w:t>
      </w:r>
      <w:proofErr w:type="spellStart"/>
      <w:r w:rsidRPr="009D100A">
        <w:rPr>
          <w:i/>
        </w:rPr>
        <w:t>Measuresfor</w:t>
      </w:r>
      <w:proofErr w:type="spellEnd"/>
      <w:r w:rsidRPr="009D100A">
        <w:rPr>
          <w:i/>
        </w:rPr>
        <w:t xml:space="preserve"> Meat Chickens in England, Final report to </w:t>
      </w:r>
      <w:proofErr w:type="spellStart"/>
      <w:r w:rsidRPr="009D100A">
        <w:rPr>
          <w:i/>
        </w:rPr>
        <w:t>Defra</w:t>
      </w:r>
      <w:proofErr w:type="spellEnd"/>
      <w:r w:rsidRPr="009D100A">
        <w:rPr>
          <w:i/>
        </w:rPr>
        <w:t xml:space="preserve"> AW0236</w:t>
      </w:r>
    </w:p>
    <w:p w:rsidR="0062321F" w:rsidRPr="009D100A" w:rsidRDefault="0062321F" w:rsidP="0062321F">
      <w:pPr>
        <w:widowControl w:val="0"/>
        <w:tabs>
          <w:tab w:val="left" w:pos="567"/>
        </w:tabs>
        <w:autoSpaceDE w:val="0"/>
        <w:autoSpaceDN w:val="0"/>
        <w:adjustRightInd w:val="0"/>
        <w:spacing w:after="0"/>
        <w:ind w:left="567" w:hanging="567"/>
        <w:jc w:val="left"/>
      </w:pPr>
      <w:proofErr w:type="spellStart"/>
      <w:proofErr w:type="gramStart"/>
      <w:r w:rsidRPr="009D100A">
        <w:t>Napolatino</w:t>
      </w:r>
      <w:proofErr w:type="spellEnd"/>
      <w:r w:rsidRPr="009D100A">
        <w:t xml:space="preserve">, F. </w:t>
      </w:r>
      <w:proofErr w:type="spellStart"/>
      <w:r w:rsidRPr="009D100A">
        <w:t>Girolami</w:t>
      </w:r>
      <w:proofErr w:type="spellEnd"/>
      <w:r w:rsidRPr="009D100A">
        <w:t xml:space="preserve">, A. and </w:t>
      </w:r>
      <w:proofErr w:type="spellStart"/>
      <w:r w:rsidRPr="009D100A">
        <w:t>Braghieri</w:t>
      </w:r>
      <w:proofErr w:type="spellEnd"/>
      <w:r w:rsidRPr="009D100A">
        <w:t xml:space="preserve">, A, 2010, Consumer liking and willingness to pay for high animal welfare products”, </w:t>
      </w:r>
      <w:r w:rsidRPr="009D100A">
        <w:rPr>
          <w:i/>
        </w:rPr>
        <w:t>Trends in Food Science and Technology</w:t>
      </w:r>
      <w:r w:rsidRPr="009D100A">
        <w:t>, 21, 537 – 543.</w:t>
      </w:r>
      <w:proofErr w:type="gramEnd"/>
    </w:p>
    <w:p w:rsidR="0062321F" w:rsidRPr="009D100A" w:rsidDel="0079556C" w:rsidRDefault="0062321F" w:rsidP="0062321F">
      <w:pPr>
        <w:spacing w:after="0"/>
        <w:ind w:left="284" w:hanging="284"/>
        <w:jc w:val="left"/>
        <w:rPr>
          <w:rFonts w:cs="Gill Sans"/>
          <w:iCs/>
          <w:szCs w:val="20"/>
        </w:rPr>
      </w:pPr>
      <w:proofErr w:type="spellStart"/>
      <w:r w:rsidRPr="009D100A">
        <w:rPr>
          <w:rFonts w:cs="Helvetica"/>
          <w:szCs w:val="16"/>
        </w:rPr>
        <w:t>Verbeke</w:t>
      </w:r>
      <w:proofErr w:type="spellEnd"/>
      <w:r w:rsidRPr="009D100A">
        <w:rPr>
          <w:rFonts w:cs="Helvetica"/>
          <w:szCs w:val="16"/>
        </w:rPr>
        <w:t>, W. 2009 '</w:t>
      </w:r>
      <w:r w:rsidRPr="009D100A">
        <w:rPr>
          <w:rFonts w:cs="Gill Sans"/>
          <w:bCs/>
          <w:iCs/>
          <w:szCs w:val="30"/>
        </w:rPr>
        <w:t>Stakeholder, citizen and consumer interests in farm animal welfare",</w:t>
      </w:r>
      <w:r w:rsidRPr="009D100A">
        <w:rPr>
          <w:rFonts w:cs="Gill Sans"/>
          <w:bCs/>
          <w:i/>
          <w:iCs/>
          <w:szCs w:val="30"/>
        </w:rPr>
        <w:t xml:space="preserve"> </w:t>
      </w:r>
      <w:r w:rsidRPr="009D100A">
        <w:rPr>
          <w:rFonts w:cs="Gill Sans"/>
          <w:i/>
          <w:iCs/>
          <w:szCs w:val="20"/>
        </w:rPr>
        <w:t xml:space="preserve">Animal Welfare, </w:t>
      </w:r>
      <w:r w:rsidRPr="009D100A">
        <w:rPr>
          <w:rFonts w:cs="Gill Sans"/>
          <w:iCs/>
          <w:szCs w:val="20"/>
        </w:rPr>
        <w:t xml:space="preserve">18: 325-333 </w:t>
      </w:r>
    </w:p>
    <w:p w:rsidR="0062321F" w:rsidRPr="009D100A" w:rsidRDefault="0062321F" w:rsidP="0062321F">
      <w:pPr>
        <w:spacing w:after="0"/>
        <w:ind w:left="567" w:hanging="567"/>
        <w:jc w:val="left"/>
        <w:rPr>
          <w:i/>
        </w:rPr>
      </w:pPr>
      <w:proofErr w:type="spellStart"/>
      <w:r w:rsidRPr="009D100A">
        <w:rPr>
          <w:rFonts w:eastAsia="NSimSun" w:cs="Arial"/>
          <w:color w:val="000000"/>
          <w:szCs w:val="22"/>
          <w:lang w:eastAsia="zh-CN"/>
        </w:rPr>
        <w:t>Sirieix</w:t>
      </w:r>
      <w:proofErr w:type="spellEnd"/>
      <w:r w:rsidRPr="009D100A">
        <w:rPr>
          <w:rFonts w:eastAsia="NSimSun" w:cs="Arial"/>
          <w:color w:val="000000"/>
          <w:szCs w:val="22"/>
          <w:lang w:eastAsia="zh-CN"/>
        </w:rPr>
        <w:t xml:space="preserve">, L., </w:t>
      </w:r>
      <w:proofErr w:type="spellStart"/>
      <w:r w:rsidRPr="009D100A">
        <w:rPr>
          <w:rFonts w:eastAsia="NSimSun" w:cs="Arial"/>
          <w:color w:val="000000"/>
          <w:szCs w:val="22"/>
          <w:lang w:eastAsia="zh-CN"/>
        </w:rPr>
        <w:t>Kledal</w:t>
      </w:r>
      <w:proofErr w:type="spellEnd"/>
      <w:r w:rsidRPr="009D100A">
        <w:rPr>
          <w:rFonts w:eastAsia="NSimSun" w:cs="Arial"/>
          <w:color w:val="000000"/>
          <w:szCs w:val="22"/>
          <w:lang w:eastAsia="zh-CN"/>
        </w:rPr>
        <w:t xml:space="preserve">, P.R., &amp; </w:t>
      </w:r>
      <w:proofErr w:type="spellStart"/>
      <w:r w:rsidRPr="009D100A">
        <w:rPr>
          <w:rFonts w:eastAsia="NSimSun" w:cs="Arial"/>
          <w:color w:val="000000"/>
          <w:szCs w:val="22"/>
          <w:lang w:eastAsia="zh-CN"/>
        </w:rPr>
        <w:t>Sulitang</w:t>
      </w:r>
      <w:proofErr w:type="spellEnd"/>
      <w:r w:rsidRPr="009D100A">
        <w:rPr>
          <w:rFonts w:eastAsia="NSimSun" w:cs="Arial"/>
          <w:color w:val="000000"/>
          <w:szCs w:val="22"/>
          <w:lang w:eastAsia="zh-CN"/>
        </w:rPr>
        <w:t xml:space="preserve">, T. (2011). Organic food consumers’ trade-offs between local or imported, conventional or organic products: a qualitative study in Shanghai. </w:t>
      </w:r>
      <w:r w:rsidRPr="009D100A">
        <w:rPr>
          <w:rFonts w:eastAsia="NSimSun" w:cs="Arial"/>
          <w:i/>
          <w:color w:val="000000"/>
          <w:szCs w:val="22"/>
          <w:lang w:eastAsia="zh-CN"/>
        </w:rPr>
        <w:t>International Journal of Consumer Studies</w:t>
      </w:r>
      <w:r w:rsidRPr="009D100A">
        <w:rPr>
          <w:rFonts w:eastAsia="NSimSun" w:cs="Arial"/>
          <w:color w:val="000000"/>
          <w:szCs w:val="22"/>
          <w:lang w:eastAsia="zh-CN"/>
        </w:rPr>
        <w:t>, forthcoming</w:t>
      </w:r>
    </w:p>
    <w:p w:rsidR="0062321F" w:rsidRPr="009D100A" w:rsidDel="0079556C" w:rsidRDefault="0062321F" w:rsidP="0062321F">
      <w:pPr>
        <w:widowControl w:val="0"/>
        <w:autoSpaceDE w:val="0"/>
        <w:autoSpaceDN w:val="0"/>
        <w:adjustRightInd w:val="0"/>
        <w:spacing w:after="0"/>
        <w:ind w:left="567" w:hanging="567"/>
        <w:jc w:val="left"/>
      </w:pPr>
      <w:proofErr w:type="gramStart"/>
      <w:r w:rsidRPr="009D100A">
        <w:t xml:space="preserve">Taylor, D.H. and </w:t>
      </w:r>
      <w:proofErr w:type="spellStart"/>
      <w:r w:rsidRPr="009D100A">
        <w:t>Fearne</w:t>
      </w:r>
      <w:proofErr w:type="spellEnd"/>
      <w:r w:rsidRPr="009D100A">
        <w:t xml:space="preserve">, A. 2006, “Towards a framework for the improvement in the management of demand in </w:t>
      </w:r>
      <w:proofErr w:type="spellStart"/>
      <w:r w:rsidRPr="009D100A">
        <w:t>agri</w:t>
      </w:r>
      <w:proofErr w:type="spellEnd"/>
      <w:r w:rsidRPr="009D100A">
        <w:t>-food supply chains”, S</w:t>
      </w:r>
      <w:r w:rsidRPr="009D100A">
        <w:rPr>
          <w:i/>
        </w:rPr>
        <w:t>upply Chain Management</w:t>
      </w:r>
      <w:r w:rsidRPr="009D100A">
        <w:t>, 11 (5), 379 – 384.</w:t>
      </w:r>
      <w:proofErr w:type="gramEnd"/>
    </w:p>
    <w:p w:rsidR="0062321F" w:rsidRPr="009D100A" w:rsidRDefault="0062321F" w:rsidP="0062321F">
      <w:pPr>
        <w:widowControl w:val="0"/>
        <w:autoSpaceDE w:val="0"/>
        <w:autoSpaceDN w:val="0"/>
        <w:adjustRightInd w:val="0"/>
        <w:spacing w:after="0"/>
        <w:ind w:left="567" w:hanging="567"/>
        <w:jc w:val="left"/>
        <w:rPr>
          <w:rFonts w:eastAsiaTheme="minorHAnsi" w:cs="AdvGulliv-R"/>
          <w:szCs w:val="13"/>
          <w:lang w:val="en-US" w:eastAsia="en-US"/>
        </w:rPr>
      </w:pPr>
      <w:proofErr w:type="spellStart"/>
      <w:r w:rsidRPr="009D100A">
        <w:rPr>
          <w:rFonts w:eastAsiaTheme="minorHAnsi" w:cs="AdvGulliv-R"/>
          <w:szCs w:val="13"/>
          <w:lang w:val="en-US" w:eastAsia="en-US"/>
        </w:rPr>
        <w:t>Toma</w:t>
      </w:r>
      <w:proofErr w:type="spellEnd"/>
      <w:r w:rsidRPr="009D100A">
        <w:rPr>
          <w:rFonts w:eastAsiaTheme="minorHAnsi" w:cs="AdvGulliv-R"/>
          <w:szCs w:val="13"/>
          <w:lang w:val="en-US" w:eastAsia="en-US"/>
        </w:rPr>
        <w:t>, L</w:t>
      </w:r>
      <w:proofErr w:type="gramStart"/>
      <w:r w:rsidRPr="009D100A">
        <w:rPr>
          <w:rFonts w:eastAsiaTheme="minorHAnsi" w:cs="AdvGulliv-R"/>
          <w:szCs w:val="13"/>
          <w:lang w:val="en-US" w:eastAsia="en-US"/>
        </w:rPr>
        <w:t>. ,</w:t>
      </w:r>
      <w:proofErr w:type="gramEnd"/>
      <w:r w:rsidRPr="009D100A">
        <w:rPr>
          <w:rFonts w:eastAsiaTheme="minorHAnsi" w:cs="AdvGulliv-R"/>
          <w:szCs w:val="13"/>
          <w:lang w:val="en-US" w:eastAsia="en-US"/>
        </w:rPr>
        <w:t xml:space="preserve"> </w:t>
      </w:r>
      <w:proofErr w:type="spellStart"/>
      <w:r w:rsidRPr="009D100A">
        <w:rPr>
          <w:rFonts w:eastAsiaTheme="minorHAnsi" w:cs="AdvGulliv-R"/>
          <w:szCs w:val="13"/>
          <w:lang w:val="en-US" w:eastAsia="en-US"/>
        </w:rPr>
        <w:t>McVittie,A</w:t>
      </w:r>
      <w:proofErr w:type="spellEnd"/>
      <w:r w:rsidRPr="009D100A">
        <w:rPr>
          <w:rFonts w:eastAsiaTheme="minorHAnsi" w:cs="AdvGulliv-R"/>
          <w:szCs w:val="13"/>
          <w:lang w:val="en-US" w:eastAsia="en-US"/>
        </w:rPr>
        <w:t xml:space="preserve">, Hubbard, C and Stott, A. (2011) A Structural Equation Model of the factors Influencing British </w:t>
      </w:r>
      <w:proofErr w:type="spellStart"/>
      <w:r w:rsidRPr="009D100A">
        <w:rPr>
          <w:rFonts w:eastAsiaTheme="minorHAnsi" w:cs="AdvGulliv-R"/>
          <w:szCs w:val="13"/>
          <w:lang w:val="en-US" w:eastAsia="en-US"/>
        </w:rPr>
        <w:t>Consumers’Behaviour</w:t>
      </w:r>
      <w:proofErr w:type="spellEnd"/>
      <w:r w:rsidRPr="009D100A">
        <w:rPr>
          <w:rFonts w:eastAsiaTheme="minorHAnsi" w:cs="AdvGulliv-R"/>
          <w:szCs w:val="13"/>
          <w:lang w:val="en-US" w:eastAsia="en-US"/>
        </w:rPr>
        <w:t xml:space="preserve"> toward Animal Welfare, </w:t>
      </w:r>
      <w:r w:rsidRPr="0062321F">
        <w:rPr>
          <w:rFonts w:eastAsiaTheme="minorHAnsi" w:cs="AdvGulliv-R"/>
          <w:i/>
          <w:szCs w:val="13"/>
          <w:lang w:val="en-US" w:eastAsia="en-US"/>
        </w:rPr>
        <w:t>Journal of Food Products Marketing</w:t>
      </w:r>
      <w:r w:rsidRPr="009D100A">
        <w:rPr>
          <w:rFonts w:eastAsiaTheme="minorHAnsi" w:cs="AdvGulliv-R"/>
          <w:szCs w:val="13"/>
          <w:lang w:val="en-US" w:eastAsia="en-US"/>
        </w:rPr>
        <w:t>, 17, 261-278</w:t>
      </w:r>
    </w:p>
    <w:p w:rsidR="0062321F" w:rsidRPr="009D100A" w:rsidRDefault="0062321F" w:rsidP="0062321F">
      <w:pPr>
        <w:widowControl w:val="0"/>
        <w:autoSpaceDE w:val="0"/>
        <w:autoSpaceDN w:val="0"/>
        <w:adjustRightInd w:val="0"/>
        <w:spacing w:after="0"/>
        <w:ind w:left="567" w:hanging="567"/>
        <w:jc w:val="left"/>
        <w:rPr>
          <w:rFonts w:eastAsiaTheme="minorHAnsi" w:cs="AdvGulliv-R"/>
          <w:szCs w:val="13"/>
          <w:lang w:val="en-US" w:eastAsia="en-US"/>
        </w:rPr>
      </w:pPr>
      <w:proofErr w:type="spellStart"/>
      <w:r w:rsidRPr="009D100A">
        <w:rPr>
          <w:rFonts w:eastAsiaTheme="minorHAnsi" w:cs="AdvGulliv-R"/>
          <w:szCs w:val="13"/>
          <w:lang w:val="en-US" w:eastAsia="en-US"/>
        </w:rPr>
        <w:t>Tonsor</w:t>
      </w:r>
      <w:proofErr w:type="spellEnd"/>
      <w:r w:rsidRPr="009D100A">
        <w:rPr>
          <w:rFonts w:eastAsiaTheme="minorHAnsi" w:cs="AdvGulliv-R"/>
          <w:szCs w:val="13"/>
          <w:lang w:val="en-US" w:eastAsia="en-US"/>
        </w:rPr>
        <w:t xml:space="preserve">, G.T., </w:t>
      </w:r>
      <w:proofErr w:type="spellStart"/>
      <w:r w:rsidRPr="009D100A">
        <w:rPr>
          <w:rFonts w:eastAsiaTheme="minorHAnsi" w:cs="AdvGulliv-R"/>
          <w:szCs w:val="13"/>
          <w:lang w:val="en-US" w:eastAsia="en-US"/>
        </w:rPr>
        <w:t>Olynk</w:t>
      </w:r>
      <w:proofErr w:type="spellEnd"/>
      <w:r w:rsidRPr="009D100A">
        <w:rPr>
          <w:rFonts w:eastAsiaTheme="minorHAnsi" w:cs="AdvGulliv-R"/>
          <w:szCs w:val="13"/>
          <w:lang w:val="en-US" w:eastAsia="en-US"/>
        </w:rPr>
        <w:t xml:space="preserve">, N., Wolf, C., 2009. “Consumer preferences for animal welfare attributes: the case of gestation crates” </w:t>
      </w:r>
      <w:r w:rsidRPr="009D100A">
        <w:rPr>
          <w:rFonts w:eastAsiaTheme="minorHAnsi" w:cs="AdvGulliv-R"/>
          <w:i/>
          <w:szCs w:val="13"/>
          <w:lang w:val="en-US" w:eastAsia="en-US"/>
        </w:rPr>
        <w:t>Journal of Agricultural and Applied Economics</w:t>
      </w:r>
      <w:r w:rsidRPr="009D100A">
        <w:rPr>
          <w:rFonts w:eastAsiaTheme="minorHAnsi" w:cs="AdvGulliv-R"/>
          <w:szCs w:val="13"/>
          <w:lang w:val="en-US" w:eastAsia="en-US"/>
        </w:rPr>
        <w:t xml:space="preserve"> 41, 713–730.</w:t>
      </w:r>
    </w:p>
    <w:p w:rsidR="0062321F" w:rsidRPr="009D100A" w:rsidRDefault="00A518EC" w:rsidP="0062321F">
      <w:pPr>
        <w:widowControl w:val="0"/>
        <w:autoSpaceDE w:val="0"/>
        <w:autoSpaceDN w:val="0"/>
        <w:adjustRightInd w:val="0"/>
        <w:spacing w:after="0"/>
        <w:ind w:left="567" w:hanging="567"/>
        <w:jc w:val="left"/>
        <w:rPr>
          <w:rFonts w:eastAsiaTheme="minorHAnsi" w:cs="AdvGulliv-R"/>
          <w:szCs w:val="13"/>
          <w:lang w:val="en-US" w:eastAsia="en-US"/>
        </w:rPr>
      </w:pPr>
      <w:hyperlink r:id="rId17" w:history="1">
        <w:proofErr w:type="spellStart"/>
        <w:r w:rsidR="0062321F" w:rsidRPr="009D100A">
          <w:rPr>
            <w:rStyle w:val="Hyperlink"/>
            <w:rFonts w:eastAsiaTheme="minorHAnsi" w:cs="AdvGulliv-R"/>
            <w:szCs w:val="13"/>
            <w:lang w:val="en-US" w:eastAsia="en-US"/>
          </w:rPr>
          <w:t>Tonsor</w:t>
        </w:r>
        <w:proofErr w:type="spellEnd"/>
        <w:r w:rsidR="0062321F" w:rsidRPr="009D100A">
          <w:rPr>
            <w:rStyle w:val="Hyperlink"/>
            <w:rFonts w:eastAsiaTheme="minorHAnsi" w:cs="AdvGulliv-R"/>
            <w:szCs w:val="13"/>
            <w:lang w:val="en-US" w:eastAsia="en-US"/>
          </w:rPr>
          <w:t>, G.T. and Wolf, C</w:t>
        </w:r>
      </w:hyperlink>
      <w:proofErr w:type="gramStart"/>
      <w:r w:rsidR="0062321F" w:rsidRPr="009D100A">
        <w:rPr>
          <w:rFonts w:eastAsiaTheme="minorHAnsi" w:cs="AdvGulliv-R"/>
          <w:szCs w:val="13"/>
          <w:lang w:val="en-US" w:eastAsia="en-US"/>
        </w:rPr>
        <w:t>,,</w:t>
      </w:r>
      <w:proofErr w:type="gramEnd"/>
      <w:r w:rsidR="0062321F" w:rsidRPr="009D100A">
        <w:rPr>
          <w:rFonts w:eastAsiaTheme="minorHAnsi" w:cs="AdvGulliv-R"/>
          <w:szCs w:val="13"/>
          <w:lang w:val="en-US" w:eastAsia="en-US"/>
        </w:rPr>
        <w:t xml:space="preserve"> 2011, “On mandatory labeling of animal welfare attributes”, </w:t>
      </w:r>
      <w:r w:rsidR="0062321F" w:rsidRPr="009D100A">
        <w:rPr>
          <w:rFonts w:eastAsiaTheme="minorHAnsi" w:cs="AdvGulliv-R"/>
          <w:i/>
          <w:szCs w:val="13"/>
          <w:lang w:val="en-US" w:eastAsia="en-US"/>
        </w:rPr>
        <w:t>Food Policy</w:t>
      </w:r>
      <w:r w:rsidR="0062321F" w:rsidRPr="009D100A">
        <w:rPr>
          <w:rFonts w:eastAsiaTheme="minorHAnsi" w:cs="AdvGulliv-R"/>
          <w:szCs w:val="13"/>
          <w:lang w:val="en-US" w:eastAsia="en-US"/>
        </w:rPr>
        <w:t xml:space="preserve">, </w:t>
      </w:r>
      <w:r w:rsidR="0062321F" w:rsidRPr="009D100A">
        <w:t>Volume 36, Issue 3, June 2011, Pages 430-437</w:t>
      </w:r>
    </w:p>
    <w:p w:rsidR="0062321F" w:rsidRPr="009D100A" w:rsidDel="0079556C" w:rsidRDefault="0062321F" w:rsidP="0062321F">
      <w:pPr>
        <w:widowControl w:val="0"/>
        <w:autoSpaceDE w:val="0"/>
        <w:autoSpaceDN w:val="0"/>
        <w:adjustRightInd w:val="0"/>
        <w:spacing w:after="0"/>
        <w:ind w:left="567" w:hanging="567"/>
        <w:rPr>
          <w:rFonts w:cs="Gill Sans"/>
          <w:iCs/>
          <w:szCs w:val="20"/>
        </w:rPr>
      </w:pPr>
      <w:proofErr w:type="spellStart"/>
      <w:r w:rsidRPr="009D100A">
        <w:rPr>
          <w:rFonts w:cs="Gill Sans"/>
          <w:iCs/>
          <w:szCs w:val="20"/>
        </w:rPr>
        <w:t>Verbeke</w:t>
      </w:r>
      <w:proofErr w:type="spellEnd"/>
      <w:r w:rsidRPr="009D100A">
        <w:rPr>
          <w:rFonts w:cs="Gill Sans"/>
          <w:iCs/>
          <w:szCs w:val="20"/>
        </w:rPr>
        <w:t>, W. 2009,</w:t>
      </w:r>
      <w:r w:rsidRPr="009D100A">
        <w:rPr>
          <w:rFonts w:cs="Helvetica"/>
          <w:szCs w:val="16"/>
        </w:rPr>
        <w:t xml:space="preserve"> </w:t>
      </w:r>
      <w:r w:rsidRPr="009D100A">
        <w:rPr>
          <w:rFonts w:cs="Gill Sans"/>
          <w:bCs/>
          <w:iCs/>
          <w:szCs w:val="30"/>
        </w:rPr>
        <w:t xml:space="preserve">Stakeholder, citizen and consumer interests in farm animal welfare", </w:t>
      </w:r>
      <w:r w:rsidRPr="009D100A">
        <w:rPr>
          <w:rFonts w:cs="Gill Sans"/>
          <w:i/>
          <w:iCs/>
          <w:szCs w:val="20"/>
        </w:rPr>
        <w:t>Animal Welfare</w:t>
      </w:r>
      <w:r w:rsidRPr="009D100A">
        <w:rPr>
          <w:rFonts w:cs="Gill Sans"/>
          <w:iCs/>
          <w:szCs w:val="20"/>
        </w:rPr>
        <w:t>, 18: 325-333</w:t>
      </w:r>
    </w:p>
    <w:p w:rsidR="0062321F" w:rsidRPr="009D100A" w:rsidRDefault="0062321F" w:rsidP="0062321F">
      <w:pPr>
        <w:widowControl w:val="0"/>
        <w:autoSpaceDE w:val="0"/>
        <w:autoSpaceDN w:val="0"/>
        <w:adjustRightInd w:val="0"/>
        <w:spacing w:after="0"/>
        <w:ind w:left="567" w:hanging="567"/>
      </w:pPr>
      <w:proofErr w:type="spellStart"/>
      <w:r w:rsidRPr="009D100A">
        <w:t>Vanhonacker</w:t>
      </w:r>
      <w:proofErr w:type="spellEnd"/>
      <w:r w:rsidRPr="009D100A">
        <w:t xml:space="preserve">, F, </w:t>
      </w:r>
      <w:proofErr w:type="spellStart"/>
      <w:r w:rsidRPr="009D100A">
        <w:t>Verbeke</w:t>
      </w:r>
      <w:proofErr w:type="spellEnd"/>
      <w:r w:rsidRPr="009D100A">
        <w:t xml:space="preserve">, W, van </w:t>
      </w:r>
      <w:proofErr w:type="spellStart"/>
      <w:r w:rsidRPr="009D100A">
        <w:t>Poucke</w:t>
      </w:r>
      <w:proofErr w:type="spellEnd"/>
      <w:r w:rsidRPr="009D100A">
        <w:t xml:space="preserve">, E. </w:t>
      </w:r>
      <w:proofErr w:type="gramStart"/>
      <w:r w:rsidRPr="009D100A">
        <w:t xml:space="preserve">And </w:t>
      </w:r>
      <w:proofErr w:type="spellStart"/>
      <w:r w:rsidRPr="009D100A">
        <w:t>Tuyttens</w:t>
      </w:r>
      <w:proofErr w:type="spellEnd"/>
      <w:r w:rsidRPr="009D100A">
        <w:t>, FAM (2007).</w:t>
      </w:r>
      <w:proofErr w:type="gramEnd"/>
      <w:r w:rsidRPr="009D100A">
        <w:t xml:space="preserve"> Segmentation based on consumers’ perceived importance and attitude toward farm animal welfare. </w:t>
      </w:r>
      <w:r w:rsidRPr="009D100A">
        <w:rPr>
          <w:i/>
        </w:rPr>
        <w:t>International Journal of Sociology of Food and Agriculture</w:t>
      </w:r>
      <w:r w:rsidRPr="009D100A">
        <w:t xml:space="preserve">, 15(3): 84-100  </w:t>
      </w:r>
    </w:p>
    <w:p w:rsidR="00FC2175" w:rsidRDefault="00FC2175" w:rsidP="006E44F9">
      <w:pPr>
        <w:spacing w:after="200" w:line="276" w:lineRule="auto"/>
        <w:jc w:val="left"/>
        <w:sectPr w:rsidR="00FC2175">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titlePg/>
          <w:docGrid w:linePitch="360"/>
        </w:sectPr>
      </w:pPr>
    </w:p>
    <w:p w:rsidR="00FC2175" w:rsidRDefault="00A518EC">
      <w:pPr>
        <w:spacing w:after="200" w:line="276" w:lineRule="auto"/>
        <w:jc w:val="left"/>
        <w:rPr>
          <w:rFonts w:cs="Arial"/>
          <w:szCs w:val="22"/>
        </w:rPr>
      </w:pPr>
      <w:r>
        <w:rPr>
          <w:rFonts w:cs="Arial"/>
          <w:noProof/>
          <w:szCs w:val="22"/>
          <w:lang w:val="en-US" w:eastAsia="en-US"/>
        </w:rPr>
        <w:pict>
          <v:shape id="_x0000_s1054" type="#_x0000_t75" style="position:absolute;margin-left:0;margin-top:0;width:683pt;height:412pt;z-index:251665408;mso-wrap-edited:f" wrapcoords="0 0 21600 0 21600 21600 0 21600 0 0">
            <v:imagedata r:id="rId24" r:pict="rId25" o:title=""/>
            <w10:wrap type="tight"/>
          </v:shape>
        </w:pict>
      </w:r>
    </w:p>
    <w:p w:rsidR="004C4E9C" w:rsidRDefault="00A518EC">
      <w:pPr>
        <w:spacing w:after="200" w:line="276" w:lineRule="auto"/>
        <w:jc w:val="left"/>
        <w:rPr>
          <w:rFonts w:cs="Arial"/>
          <w:szCs w:val="22"/>
        </w:rPr>
      </w:pPr>
      <w:bookmarkStart w:id="3" w:name="_GoBack"/>
      <w:bookmarkEnd w:id="3"/>
      <w:r>
        <w:rPr>
          <w:rFonts w:cs="Arial"/>
          <w:noProof/>
          <w:szCs w:val="22"/>
          <w:lang w:val="en-US" w:eastAsia="en-US"/>
        </w:rPr>
        <w:pict>
          <v:shape id="_x0000_s1058" type="#_x0000_t75" style="position:absolute;margin-left:0;margin-top:0;width:683pt;height:414pt;z-index:251666432;mso-wrap-edited:f" wrapcoords="0 0 21600 0 21600 21600 0 21600 0 0">
            <v:imagedata r:id="rId26" r:pict="rId27" o:title=""/>
            <w10:wrap type="tight"/>
          </v:shape>
        </w:pict>
      </w:r>
    </w:p>
    <w:p w:rsidR="00142BDA" w:rsidRDefault="00A518EC" w:rsidP="00142BDA">
      <w:pPr>
        <w:jc w:val="left"/>
        <w:rPr>
          <w:rFonts w:cs="Arial"/>
          <w:szCs w:val="22"/>
        </w:rPr>
      </w:pPr>
      <w:r>
        <w:rPr>
          <w:rFonts w:cs="Arial"/>
          <w:noProof/>
          <w:szCs w:val="22"/>
          <w:lang w:val="en-US" w:eastAsia="en-US"/>
        </w:rPr>
        <w:pict>
          <v:shape id="_x0000_s1059" type="#_x0000_t75" style="position:absolute;margin-left:0;margin-top:0;width:683pt;height:473pt;z-index:251667456;mso-wrap-edited:f" wrapcoords="0 0 21600 0 21600 21600 0 21600 0 0">
            <v:imagedata r:id="rId28" r:pict="rId29" o:title=""/>
            <w10:wrap type="tight"/>
          </v:shape>
        </w:pict>
      </w:r>
    </w:p>
    <w:p w:rsidR="00B520CC" w:rsidRDefault="00B520CC" w:rsidP="00A15C43">
      <w:pPr>
        <w:sectPr w:rsidR="00B520CC">
          <w:pgSz w:w="16838" w:h="11899" w:orient="landscape"/>
          <w:pgMar w:top="1417" w:right="1417" w:bottom="1417" w:left="1417" w:header="708" w:footer="708" w:gutter="0"/>
          <w:cols w:space="708"/>
          <w:titlePg/>
          <w:docGrid w:linePitch="360"/>
          <w:printerSettings r:id="rId30"/>
        </w:sectPr>
      </w:pPr>
    </w:p>
    <w:p w:rsidR="00A7552E" w:rsidRDefault="00A518EC" w:rsidP="00A15C43">
      <w:r>
        <w:rPr>
          <w:noProof/>
          <w:lang w:val="en-US" w:eastAsia="en-US"/>
        </w:rPr>
        <w:pict>
          <v:shape id="_x0000_s1060" type="#_x0000_t75" style="position:absolute;left:0;text-align:left;margin-left:0;margin-top:0;width:683pt;height:273pt;z-index:251659263;mso-wrap-edited:f" wrapcoords="0 0 21600 0 21600 21600 0 21600 0 0">
            <v:imagedata r:id="rId31" r:pict="rId32" o:title=""/>
            <w10:wrap type="tight"/>
          </v:shape>
        </w:pict>
      </w:r>
    </w:p>
    <w:p w:rsidR="00A7552E" w:rsidRDefault="00A7552E" w:rsidP="00A15C43"/>
    <w:p w:rsidR="00A7552E" w:rsidRDefault="00A7552E" w:rsidP="00A15C43"/>
    <w:p w:rsidR="00A7552E" w:rsidRDefault="00A7552E" w:rsidP="00A15C43"/>
    <w:p w:rsidR="00A7552E" w:rsidRDefault="00A7552E" w:rsidP="00A15C43"/>
    <w:p w:rsidR="00A7552E" w:rsidRDefault="00A7552E" w:rsidP="00A15C43"/>
    <w:p w:rsidR="00A7552E" w:rsidRDefault="00A7552E" w:rsidP="00A15C43"/>
    <w:p w:rsidR="00A7552E" w:rsidRDefault="00A518EC" w:rsidP="00A7552E">
      <w:pPr>
        <w:tabs>
          <w:tab w:val="left" w:pos="13147"/>
        </w:tabs>
      </w:pPr>
      <w:r>
        <w:rPr>
          <w:noProof/>
          <w:lang w:val="en-US" w:eastAsia="en-US"/>
        </w:rPr>
        <w:pict>
          <v:shapetype id="_x0000_t202" coordsize="21600,21600" o:spt="202" path="m0,0l0,21600,21600,21600,21600,0xe">
            <v:stroke joinstyle="miter"/>
            <v:path gradientshapeok="t" o:connecttype="rect"/>
          </v:shapetype>
          <v:shape id="_x0000_s1062" type="#_x0000_t202" style="position:absolute;left:0;text-align:left;margin-left:-6pt;margin-top:-28.05pt;width:725.85pt;height:551.4pt;z-index:251668480;mso-wrap-edited:f;mso-position-horizontal:absolute;mso-position-vertical:absolute" wrapcoords="-22 0 -22 21570 21622 21570 21622 0 -22 0" strokeweight=".25pt">
            <v:textbox style="mso-next-textbox:#_x0000_s1062">
              <w:txbxContent>
                <w:p w:rsidR="00603C66" w:rsidRDefault="00603C66" w:rsidP="008807CD">
                  <w:pPr>
                    <w:pStyle w:val="Heading7"/>
                    <w:numPr>
                      <w:ilvl w:val="0"/>
                      <w:numId w:val="0"/>
                    </w:numPr>
                    <w:rPr>
                      <w:rFonts w:ascii="Arial Narrow" w:hAnsi="Arial Narrow"/>
                      <w:sz w:val="28"/>
                    </w:rPr>
                  </w:pPr>
                  <w:r>
                    <w:rPr>
                      <w:rFonts w:ascii="Arial Narrow" w:hAnsi="Arial Narrow"/>
                      <w:sz w:val="28"/>
                    </w:rPr>
                    <w:t>Colophon</w:t>
                  </w:r>
                </w:p>
                <w:p w:rsidR="00603C66" w:rsidRDefault="00603C66" w:rsidP="008807CD"/>
                <w:p w:rsidR="00603C66" w:rsidRDefault="00603C66" w:rsidP="008807CD"/>
                <w:p w:rsidR="00603C66" w:rsidRDefault="00603C66" w:rsidP="008807CD">
                  <w:r>
                    <w:rPr>
                      <w:noProof/>
                      <w:lang w:val="en-US" w:eastAsia="en-US"/>
                    </w:rPr>
                    <w:drawing>
                      <wp:inline distT="0" distB="0" distL="0" distR="0">
                        <wp:extent cx="2171700" cy="1295400"/>
                        <wp:effectExtent l="1905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171700" cy="1295400"/>
                                </a:xfrm>
                                <a:prstGeom prst="rect">
                                  <a:avLst/>
                                </a:prstGeom>
                                <a:noFill/>
                                <a:ln w="9525">
                                  <a:noFill/>
                                  <a:miter lim="800000"/>
                                  <a:headEnd/>
                                  <a:tailEnd/>
                                </a:ln>
                              </pic:spPr>
                            </pic:pic>
                          </a:graphicData>
                        </a:graphic>
                      </wp:inline>
                    </w:drawing>
                  </w:r>
                </w:p>
                <w:p w:rsidR="00603C66" w:rsidRDefault="00603C66" w:rsidP="008807CD"/>
                <w:p w:rsidR="00603C66" w:rsidRPr="006A50CB" w:rsidRDefault="00603C66" w:rsidP="008807CD">
                  <w:pPr>
                    <w:rPr>
                      <w:rFonts w:cs="Arial"/>
                    </w:rPr>
                  </w:pPr>
                  <w:r w:rsidRPr="006A50CB">
                    <w:rPr>
                      <w:rFonts w:cs="Arial"/>
                    </w:rPr>
                    <w:t xml:space="preserve">This report is an official deliverable of the </w:t>
                  </w:r>
                  <w:proofErr w:type="spellStart"/>
                  <w:r w:rsidRPr="006A50CB">
                    <w:rPr>
                      <w:rFonts w:cs="Arial"/>
                    </w:rPr>
                    <w:t>EconWelfare</w:t>
                  </w:r>
                  <w:proofErr w:type="spellEnd"/>
                  <w:r w:rsidRPr="006A50CB">
                    <w:rPr>
                      <w:rFonts w:cs="Arial"/>
                    </w:rPr>
                    <w:t xml:space="preserve"> project.</w:t>
                  </w:r>
                </w:p>
                <w:p w:rsidR="00603C66" w:rsidRPr="006A50CB" w:rsidRDefault="00603C66" w:rsidP="008807CD">
                  <w:pPr>
                    <w:rPr>
                      <w:rFonts w:cs="Arial"/>
                    </w:rPr>
                  </w:pPr>
                </w:p>
                <w:p w:rsidR="00603C66" w:rsidRPr="006A50CB" w:rsidRDefault="00603C66" w:rsidP="008807CD">
                  <w:pPr>
                    <w:rPr>
                      <w:rFonts w:cs="Arial"/>
                    </w:rPr>
                  </w:pPr>
                  <w:proofErr w:type="spellStart"/>
                  <w:r w:rsidRPr="006A50CB">
                    <w:rPr>
                      <w:rFonts w:cs="Arial"/>
                      <w:lang w:val="en-US"/>
                    </w:rPr>
                    <w:t>EconWelfare</w:t>
                  </w:r>
                  <w:proofErr w:type="spellEnd"/>
                  <w:r w:rsidRPr="006A50CB">
                    <w:rPr>
                      <w:rFonts w:cs="Arial"/>
                      <w:lang w:val="en-US"/>
                    </w:rPr>
                    <w:t xml:space="preserve"> is a European research project aiming to provide suggestions for national and European policy makers to further improve farm animal welfare. In collaboration with stakeholder groups it collates and investigates the options and their impacts on the livestock production chain, the animal and European society</w:t>
                  </w:r>
                  <w:r w:rsidRPr="006A50CB">
                    <w:rPr>
                      <w:rFonts w:cs="Arial"/>
                    </w:rPr>
                    <w:t xml:space="preserve">. </w:t>
                  </w:r>
                </w:p>
                <w:p w:rsidR="00603C66" w:rsidRPr="006A50CB" w:rsidRDefault="00603C66" w:rsidP="008807CD">
                  <w:pPr>
                    <w:rPr>
                      <w:rFonts w:cs="Arial"/>
                    </w:rPr>
                  </w:pPr>
                </w:p>
                <w:p w:rsidR="00603C66" w:rsidRPr="006A50CB" w:rsidRDefault="00603C66" w:rsidP="008807CD">
                  <w:pPr>
                    <w:rPr>
                      <w:rFonts w:cs="Arial"/>
                    </w:rPr>
                  </w:pPr>
                  <w:bookmarkStart w:id="4" w:name="OLE_LINK3"/>
                  <w:bookmarkStart w:id="5" w:name="OLE_LINK4"/>
                  <w:bookmarkStart w:id="6" w:name="OLE_LINK5"/>
                  <w:r w:rsidRPr="006A50CB">
                    <w:rPr>
                      <w:rFonts w:cs="Arial"/>
                    </w:rPr>
                    <w:t xml:space="preserve">The research leading to these results has received funding from the European Community’s Seventh Framework Programme under grant agreement no. </w:t>
                  </w:r>
                  <w:r w:rsidRPr="006A50CB">
                    <w:rPr>
                      <w:rFonts w:cs="Arial"/>
                      <w:lang w:val="en-US"/>
                    </w:rPr>
                    <w:t>KBBE-1-213095</w:t>
                  </w:r>
                  <w:bookmarkEnd w:id="4"/>
                  <w:bookmarkEnd w:id="5"/>
                  <w:bookmarkEnd w:id="6"/>
                </w:p>
                <w:p w:rsidR="00603C66" w:rsidRPr="006A50CB" w:rsidRDefault="00603C66" w:rsidP="008807CD">
                  <w:pPr>
                    <w:rPr>
                      <w:rFonts w:cs="Arial"/>
                    </w:rPr>
                  </w:pPr>
                </w:p>
                <w:p w:rsidR="00603C66" w:rsidRPr="006A50CB" w:rsidRDefault="00603C66" w:rsidP="008807CD">
                  <w:pPr>
                    <w:ind w:left="2832" w:hanging="2832"/>
                    <w:rPr>
                      <w:rFonts w:cs="Arial"/>
                    </w:rPr>
                  </w:pPr>
                  <w:r w:rsidRPr="006A50CB">
                    <w:rPr>
                      <w:rFonts w:cs="Arial"/>
                    </w:rPr>
                    <w:t xml:space="preserve">Project Office </w:t>
                  </w:r>
                  <w:proofErr w:type="spellStart"/>
                  <w:r w:rsidRPr="006A50CB">
                    <w:rPr>
                      <w:rFonts w:cs="Arial"/>
                    </w:rPr>
                    <w:t>EconWelfare</w:t>
                  </w:r>
                  <w:proofErr w:type="spellEnd"/>
                </w:p>
                <w:p w:rsidR="00603C66" w:rsidRPr="006A50CB" w:rsidRDefault="00603C66" w:rsidP="008807CD">
                  <w:pPr>
                    <w:ind w:left="1" w:hanging="1"/>
                    <w:rPr>
                      <w:rFonts w:cs="Arial"/>
                    </w:rPr>
                  </w:pPr>
                  <w:r w:rsidRPr="006A50CB">
                    <w:rPr>
                      <w:rFonts w:cs="Arial"/>
                    </w:rPr>
                    <w:t xml:space="preserve">ASG </w:t>
                  </w:r>
                  <w:proofErr w:type="spellStart"/>
                  <w:r w:rsidRPr="006A50CB">
                    <w:rPr>
                      <w:rFonts w:cs="Arial"/>
                    </w:rPr>
                    <w:t>Veehouderij</w:t>
                  </w:r>
                  <w:proofErr w:type="spellEnd"/>
                  <w:r w:rsidRPr="006A50CB">
                    <w:rPr>
                      <w:rFonts w:cs="Arial"/>
                    </w:rPr>
                    <w:t xml:space="preserve"> BV </w:t>
                  </w:r>
                </w:p>
                <w:p w:rsidR="00603C66" w:rsidRPr="006A50CB" w:rsidRDefault="00603C66" w:rsidP="008807CD">
                  <w:pPr>
                    <w:ind w:left="1" w:hanging="1"/>
                    <w:rPr>
                      <w:rFonts w:cs="Arial"/>
                    </w:rPr>
                  </w:pPr>
                  <w:proofErr w:type="spellStart"/>
                  <w:r w:rsidRPr="006A50CB">
                    <w:rPr>
                      <w:rFonts w:cs="Arial"/>
                    </w:rPr>
                    <w:t>Edelhertweg</w:t>
                  </w:r>
                  <w:proofErr w:type="spellEnd"/>
                  <w:r w:rsidRPr="006A50CB">
                    <w:rPr>
                      <w:rFonts w:cs="Arial"/>
                    </w:rPr>
                    <w:t xml:space="preserve"> 15 </w:t>
                  </w:r>
                </w:p>
                <w:p w:rsidR="00603C66" w:rsidRPr="006A50CB" w:rsidRDefault="00603C66" w:rsidP="008807CD">
                  <w:pPr>
                    <w:ind w:left="1" w:hanging="1"/>
                    <w:rPr>
                      <w:rFonts w:cs="Arial"/>
                    </w:rPr>
                  </w:pPr>
                  <w:r w:rsidRPr="006A50CB">
                    <w:rPr>
                      <w:rFonts w:cs="Arial"/>
                    </w:rPr>
                    <w:t>P.O Box 65, 8200 AB </w:t>
                  </w:r>
                  <w:proofErr w:type="spellStart"/>
                  <w:r w:rsidRPr="006A50CB">
                    <w:rPr>
                      <w:rFonts w:cs="Arial"/>
                    </w:rPr>
                    <w:t>Lelystad</w:t>
                  </w:r>
                  <w:proofErr w:type="spellEnd"/>
                  <w:r w:rsidRPr="006A50CB">
                    <w:rPr>
                      <w:rFonts w:cs="Arial"/>
                    </w:rPr>
                    <w:t xml:space="preserve"> </w:t>
                  </w:r>
                </w:p>
                <w:p w:rsidR="00603C66" w:rsidRPr="006A50CB" w:rsidRDefault="00603C66" w:rsidP="008807CD">
                  <w:pPr>
                    <w:ind w:left="1" w:hanging="1"/>
                    <w:rPr>
                      <w:rFonts w:cs="Arial"/>
                    </w:rPr>
                  </w:pPr>
                  <w:r w:rsidRPr="006A50CB">
                    <w:rPr>
                      <w:rFonts w:cs="Arial"/>
                    </w:rPr>
                    <w:t xml:space="preserve">The Netherlands </w:t>
                  </w:r>
                </w:p>
                <w:p w:rsidR="00603C66" w:rsidRPr="006A50CB" w:rsidRDefault="00603C66" w:rsidP="008807CD">
                  <w:pPr>
                    <w:ind w:left="1" w:hanging="1"/>
                    <w:rPr>
                      <w:rFonts w:cs="Arial"/>
                    </w:rPr>
                  </w:pPr>
                  <w:r w:rsidRPr="006A50CB">
                    <w:rPr>
                      <w:rFonts w:cs="Arial"/>
                    </w:rPr>
                    <w:t>Phone</w:t>
                  </w:r>
                  <w:r w:rsidRPr="006A50CB">
                    <w:rPr>
                      <w:rFonts w:cs="Arial"/>
                    </w:rPr>
                    <w:tab/>
                    <w:t>+31 320 293503</w:t>
                  </w:r>
                </w:p>
                <w:p w:rsidR="00603C66" w:rsidRPr="006A50CB" w:rsidRDefault="00603C66" w:rsidP="008807CD">
                  <w:pPr>
                    <w:ind w:left="1" w:hanging="1"/>
                    <w:rPr>
                      <w:rFonts w:cs="Arial"/>
                      <w:lang w:val="fr-FR"/>
                    </w:rPr>
                  </w:pPr>
                  <w:r w:rsidRPr="006A50CB">
                    <w:rPr>
                      <w:rFonts w:cs="Arial"/>
                      <w:lang w:val="fr-FR"/>
                    </w:rPr>
                    <w:t xml:space="preserve">Fax </w:t>
                  </w:r>
                  <w:r w:rsidRPr="006A50CB">
                    <w:rPr>
                      <w:rFonts w:cs="Arial"/>
                      <w:lang w:val="fr-FR"/>
                    </w:rPr>
                    <w:tab/>
                    <w:t xml:space="preserve">+31 320 238050 </w:t>
                  </w:r>
                  <w:r w:rsidRPr="006A50CB">
                    <w:rPr>
                      <w:rFonts w:cs="Arial"/>
                      <w:lang w:val="fr-FR"/>
                    </w:rPr>
                    <w:br/>
                    <w:t>e-mail</w:t>
                  </w:r>
                  <w:r w:rsidRPr="006A50CB">
                    <w:rPr>
                      <w:rFonts w:cs="Arial"/>
                      <w:lang w:val="fr-FR"/>
                    </w:rPr>
                    <w:tab/>
                    <w:t>anke.delorm@wur.nl</w:t>
                  </w:r>
                </w:p>
                <w:p w:rsidR="00603C66" w:rsidRPr="006A50CB" w:rsidRDefault="00603C66" w:rsidP="008807CD">
                  <w:pPr>
                    <w:ind w:left="1" w:hanging="1"/>
                    <w:rPr>
                      <w:rFonts w:cs="Arial"/>
                    </w:rPr>
                  </w:pPr>
                  <w:r w:rsidRPr="006A50CB">
                    <w:rPr>
                      <w:rFonts w:cs="Arial"/>
                      <w:lang w:val="fr-FR"/>
                    </w:rPr>
                    <w:tab/>
                  </w:r>
                  <w:r w:rsidRPr="006A50CB">
                    <w:rPr>
                      <w:rFonts w:cs="Arial"/>
                      <w:lang w:val="en-US"/>
                    </w:rPr>
                    <w:br/>
                  </w:r>
                  <w:r w:rsidRPr="006A50CB">
                    <w:rPr>
                      <w:rFonts w:cs="Arial"/>
                    </w:rPr>
                    <w:t>The text of this report represents the authors' views and does not necessarily represent a position of the European Commission who will not be liable for the use made of such information.</w:t>
                  </w:r>
                </w:p>
                <w:p w:rsidR="00603C66" w:rsidRDefault="00603C66" w:rsidP="008807CD"/>
                <w:p w:rsidR="00603C66" w:rsidRDefault="00603C66" w:rsidP="008807CD">
                  <w:r>
                    <w:rPr>
                      <w:lang w:val="en-US"/>
                    </w:rPr>
                    <w:tab/>
                  </w:r>
                  <w:r>
                    <w:rPr>
                      <w:noProof/>
                      <w:lang w:val="en-US" w:eastAsia="en-US"/>
                    </w:rPr>
                    <w:drawing>
                      <wp:inline distT="0" distB="0" distL="0" distR="0">
                        <wp:extent cx="857250" cy="571500"/>
                        <wp:effectExtent l="19050" t="0" r="0" b="0"/>
                        <wp:docPr id="23" name="Picture 2" descr="logo EU-vlag_ja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U-vlag_jaune"/>
                                <pic:cNvPicPr>
                                  <a:picLocks noChangeAspect="1" noChangeArrowheads="1"/>
                                </pic:cNvPicPr>
                              </pic:nvPicPr>
                              <pic:blipFill>
                                <a:blip r:embed="rId34"/>
                                <a:srcRect/>
                                <a:stretch>
                                  <a:fillRect/>
                                </a:stretch>
                              </pic:blipFill>
                              <pic:spPr bwMode="auto">
                                <a:xfrm>
                                  <a:off x="0" y="0"/>
                                  <a:ext cx="857250" cy="571500"/>
                                </a:xfrm>
                                <a:prstGeom prst="rect">
                                  <a:avLst/>
                                </a:prstGeom>
                                <a:noFill/>
                                <a:ln w="9525">
                                  <a:noFill/>
                                  <a:miter lim="800000"/>
                                  <a:headEnd/>
                                  <a:tailEnd/>
                                </a:ln>
                              </pic:spPr>
                            </pic:pic>
                          </a:graphicData>
                        </a:graphic>
                      </wp:inline>
                    </w:drawing>
                  </w:r>
                  <w:r>
                    <w:tab/>
                  </w:r>
                  <w:r>
                    <w:tab/>
                  </w:r>
                  <w:r>
                    <w:rPr>
                      <w:noProof/>
                      <w:lang w:val="en-US" w:eastAsia="en-US"/>
                    </w:rPr>
                    <w:drawing>
                      <wp:inline distT="0" distB="0" distL="0" distR="0">
                        <wp:extent cx="704850" cy="571500"/>
                        <wp:effectExtent l="19050" t="0" r="0" b="0"/>
                        <wp:docPr id="24" name="Picture 3" descr="FP7-gen-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7-gen-RGB"/>
                                <pic:cNvPicPr>
                                  <a:picLocks noChangeAspect="1" noChangeArrowheads="1"/>
                                </pic:cNvPicPr>
                              </pic:nvPicPr>
                              <pic:blipFill>
                                <a:blip r:embed="rId35"/>
                                <a:srcRect/>
                                <a:stretch>
                                  <a:fillRect/>
                                </a:stretch>
                              </pic:blipFill>
                              <pic:spPr bwMode="auto">
                                <a:xfrm>
                                  <a:off x="0" y="0"/>
                                  <a:ext cx="704850" cy="571500"/>
                                </a:xfrm>
                                <a:prstGeom prst="rect">
                                  <a:avLst/>
                                </a:prstGeom>
                                <a:noFill/>
                                <a:ln w="9525">
                                  <a:noFill/>
                                  <a:miter lim="800000"/>
                                  <a:headEnd/>
                                  <a:tailEnd/>
                                </a:ln>
                              </pic:spPr>
                            </pic:pic>
                          </a:graphicData>
                        </a:graphic>
                      </wp:inline>
                    </w:drawing>
                  </w:r>
                </w:p>
              </w:txbxContent>
            </v:textbox>
            <w10:wrap type="tight"/>
          </v:shape>
        </w:pict>
      </w:r>
      <w:r w:rsidR="00A7552E">
        <w:tab/>
      </w:r>
    </w:p>
    <w:p w:rsidR="008807CD" w:rsidRDefault="008807CD" w:rsidP="00A15C43"/>
    <w:sectPr w:rsidR="008807CD" w:rsidSect="00FC2175">
      <w:pgSz w:w="16838" w:h="11899" w:orient="landscape"/>
      <w:pgMar w:top="1417" w:right="1417" w:bottom="1417" w:left="1417" w:header="708" w:footer="708" w:gutter="0"/>
      <w:cols w:space="708"/>
      <w:titlePg/>
      <w:docGrid w:linePitch="360"/>
      <w:printerSettings r:id="rId36"/>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3C66" w:rsidRDefault="00603C66" w:rsidP="00B61FF8">
      <w:r>
        <w:separator/>
      </w:r>
    </w:p>
  </w:endnote>
  <w:endnote w:type="continuationSeparator" w:id="0">
    <w:p w:rsidR="00603C66" w:rsidRDefault="00603C66" w:rsidP="00B61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NewRomanPS">
    <w:altName w:val="Cambria"/>
    <w:panose1 w:val="00000000000000000000"/>
    <w:charset w:val="00"/>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dvPS6F00">
    <w:altName w:val="Cambria"/>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Italic">
    <w:panose1 w:val="00000000000000000000"/>
    <w:charset w:val="4D"/>
    <w:family w:val="roman"/>
    <w:notTrueType/>
    <w:pitch w:val="default"/>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Microsoft Sans Serif">
    <w:panose1 w:val="020B0604020202020204"/>
    <w:charset w:val="00"/>
    <w:family w:val="auto"/>
    <w:pitch w:val="variable"/>
    <w:sig w:usb0="00000003" w:usb1="00000000" w:usb2="00000000" w:usb3="00000000" w:csb0="00000001" w:csb1="00000000"/>
  </w:font>
  <w:font w:name="AdvGulliv-R">
    <w:altName w:val="Cambria"/>
    <w:panose1 w:val="00000000000000000000"/>
    <w:charset w:val="4D"/>
    <w:family w:val="auto"/>
    <w:notTrueType/>
    <w:pitch w:val="default"/>
    <w:sig w:usb0="00000003" w:usb1="00000000" w:usb2="00000000" w:usb3="00000000" w:csb0="00000001" w:csb1="00000000"/>
  </w:font>
  <w:font w:name="AdvTimes">
    <w:altName w:val="Cambria"/>
    <w:panose1 w:val="00000000000000000000"/>
    <w:charset w:val="4D"/>
    <w:family w:val="auto"/>
    <w:notTrueType/>
    <w:pitch w:val="default"/>
    <w:sig w:usb0="00000003" w:usb1="00000000" w:usb2="00000000" w:usb3="00000000" w:csb0="00000001" w:csb1="00000000"/>
  </w:font>
  <w:font w:name="SPSTimes-Roman">
    <w:altName w:val="Cambria"/>
    <w:panose1 w:val="00000000000000000000"/>
    <w:charset w:val="4D"/>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3000003" w:usb1="00000000" w:usb2="00000000" w:usb3="00000000" w:csb0="00000001" w:csb1="00000000"/>
  </w:font>
  <w:font w:name="AdvPSA88A">
    <w:altName w:val="Cambria"/>
    <w:panose1 w:val="00000000000000000000"/>
    <w:charset w:val="4D"/>
    <w:family w:val="roman"/>
    <w:notTrueType/>
    <w:pitch w:val="default"/>
    <w:sig w:usb0="00000003" w:usb1="00000000" w:usb2="00000000" w:usb3="00000000" w:csb0="00000001" w:csb1="00000000"/>
  </w:font>
  <w:font w:name="Calibri-Bold">
    <w:altName w:val="Calibri"/>
    <w:panose1 w:val="00000000000000000000"/>
    <w:charset w:val="4D"/>
    <w:family w:val="swiss"/>
    <w:notTrueType/>
    <w:pitch w:val="default"/>
    <w:sig w:usb0="00000003" w:usb1="00000000" w:usb2="00000000" w:usb3="00000000" w:csb0="00000001" w:csb1="00000000"/>
  </w:font>
  <w:font w:name="NSimSun">
    <w:charset w:val="86"/>
    <w:family w:val="modern"/>
    <w:pitch w:val="fixed"/>
    <w:sig w:usb0="00000003" w:usb1="288F0000" w:usb2="00000016" w:usb3="00000000" w:csb0="00040001" w:csb1="00000000"/>
  </w:font>
  <w:font w:name="Arial Narrow">
    <w:panose1 w:val="020B0506020202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4C0" w:rsidRDefault="003F14C0">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2814"/>
      <w:docPartObj>
        <w:docPartGallery w:val="Page Numbers (Bottom of Page)"/>
        <w:docPartUnique/>
      </w:docPartObj>
    </w:sdtPr>
    <w:sdtContent>
      <w:p w:rsidR="00603C66" w:rsidRDefault="00A518EC">
        <w:pPr>
          <w:pStyle w:val="Footer"/>
        </w:pPr>
        <w:fldSimple w:instr=" PAGE   \* MERGEFORMAT ">
          <w:r w:rsidR="00C55CBD">
            <w:rPr>
              <w:noProof/>
            </w:rPr>
            <w:t>51</w:t>
          </w:r>
        </w:fldSimple>
      </w:p>
    </w:sdtContent>
  </w:sdt>
  <w:p w:rsidR="00603C66" w:rsidRDefault="00603C66">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4C0" w:rsidRDefault="003F14C0">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3C66" w:rsidRDefault="00603C66" w:rsidP="00B61FF8">
      <w:r>
        <w:separator/>
      </w:r>
    </w:p>
  </w:footnote>
  <w:footnote w:type="continuationSeparator" w:id="0">
    <w:p w:rsidR="00603C66" w:rsidRDefault="00603C66" w:rsidP="00B61FF8">
      <w:r>
        <w:continuationSeparator/>
      </w:r>
    </w:p>
  </w:footnote>
  <w:footnote w:id="1">
    <w:p w:rsidR="00603C66" w:rsidRDefault="00603C66" w:rsidP="00355430">
      <w:pPr>
        <w:pStyle w:val="FootnoteText"/>
        <w:ind w:left="567" w:hanging="567"/>
      </w:pPr>
      <w:r>
        <w:rPr>
          <w:rStyle w:val="FootnoteReference"/>
        </w:rPr>
        <w:footnoteRef/>
      </w:r>
      <w:r>
        <w:t xml:space="preserve"> </w:t>
      </w:r>
      <w:r>
        <w:tab/>
        <w:t xml:space="preserve">The </w:t>
      </w:r>
      <w:proofErr w:type="spellStart"/>
      <w:r>
        <w:t>companion</w:t>
      </w:r>
      <w:proofErr w:type="spellEnd"/>
      <w:r>
        <w:t xml:space="preserve"> FP7 Welfare </w:t>
      </w:r>
      <w:proofErr w:type="spellStart"/>
      <w:r>
        <w:t>Quality</w:t>
      </w:r>
      <w:proofErr w:type="spellEnd"/>
      <w:r>
        <w:t xml:space="preserve"> project has </w:t>
      </w:r>
      <w:proofErr w:type="spellStart"/>
      <w:r>
        <w:t>produced</w:t>
      </w:r>
      <w:proofErr w:type="spellEnd"/>
      <w:r>
        <w:t xml:space="preserve"> </w:t>
      </w:r>
      <w:proofErr w:type="spellStart"/>
      <w:r>
        <w:t>objective</w:t>
      </w:r>
      <w:proofErr w:type="spellEnd"/>
      <w:r>
        <w:t xml:space="preserve"> </w:t>
      </w:r>
      <w:proofErr w:type="spellStart"/>
      <w:r>
        <w:t>scientifically</w:t>
      </w:r>
      <w:proofErr w:type="spellEnd"/>
      <w:r>
        <w:t xml:space="preserve"> </w:t>
      </w:r>
      <w:proofErr w:type="spellStart"/>
      <w:r>
        <w:t>based</w:t>
      </w:r>
      <w:proofErr w:type="spellEnd"/>
      <w:r>
        <w:t xml:space="preserve"> parameters and AW </w:t>
      </w:r>
      <w:proofErr w:type="spellStart"/>
      <w:r>
        <w:t>scales</w:t>
      </w:r>
      <w:proofErr w:type="spellEnd"/>
      <w:r>
        <w:t xml:space="preserve"> to </w:t>
      </w:r>
      <w:proofErr w:type="spellStart"/>
      <w:r>
        <w:t>judge</w:t>
      </w:r>
      <w:proofErr w:type="spellEnd"/>
      <w:r>
        <w:t xml:space="preserve"> </w:t>
      </w:r>
      <w:proofErr w:type="spellStart"/>
      <w:r>
        <w:t>animal</w:t>
      </w:r>
      <w:proofErr w:type="spellEnd"/>
      <w:r>
        <w:t xml:space="preserve"> welfare.</w:t>
      </w:r>
    </w:p>
  </w:footnote>
  <w:footnote w:id="2">
    <w:p w:rsidR="00603C66" w:rsidRDefault="00603C66" w:rsidP="007A0F45">
      <w:pPr>
        <w:pStyle w:val="FootnoteText"/>
        <w:spacing w:after="0"/>
        <w:ind w:left="426" w:hanging="426"/>
        <w:jc w:val="both"/>
      </w:pPr>
      <w:r>
        <w:rPr>
          <w:rStyle w:val="FootnoteReference"/>
        </w:rPr>
        <w:footnoteRef/>
      </w:r>
      <w:r>
        <w:t xml:space="preserve"> </w:t>
      </w:r>
      <w:r>
        <w:tab/>
      </w:r>
      <w:proofErr w:type="spellStart"/>
      <w:r>
        <w:t>Note</w:t>
      </w:r>
      <w:proofErr w:type="spellEnd"/>
      <w:r>
        <w:t xml:space="preserve"> </w:t>
      </w:r>
      <w:proofErr w:type="spellStart"/>
      <w:r>
        <w:t>that</w:t>
      </w:r>
      <w:proofErr w:type="spellEnd"/>
      <w:r>
        <w:t xml:space="preserve">, </w:t>
      </w:r>
      <w:proofErr w:type="spellStart"/>
      <w:r>
        <w:t>for</w:t>
      </w:r>
      <w:proofErr w:type="spellEnd"/>
      <w:r>
        <w:t xml:space="preserve"> the sake of </w:t>
      </w:r>
      <w:proofErr w:type="spellStart"/>
      <w:r>
        <w:t>analytical</w:t>
      </w:r>
      <w:proofErr w:type="spellEnd"/>
      <w:r>
        <w:t xml:space="preserve"> </w:t>
      </w:r>
      <w:proofErr w:type="spellStart"/>
      <w:r>
        <w:t>clarity</w:t>
      </w:r>
      <w:proofErr w:type="spellEnd"/>
      <w:r>
        <w:t xml:space="preserve">, we are </w:t>
      </w:r>
      <w:proofErr w:type="spellStart"/>
      <w:r>
        <w:t>abstracting</w:t>
      </w:r>
      <w:proofErr w:type="spellEnd"/>
      <w:r>
        <w:t xml:space="preserve"> </w:t>
      </w:r>
      <w:proofErr w:type="spellStart"/>
      <w:r>
        <w:t>from</w:t>
      </w:r>
      <w:proofErr w:type="spellEnd"/>
      <w:r>
        <w:t xml:space="preserve"> the </w:t>
      </w:r>
      <w:proofErr w:type="spellStart"/>
      <w:r>
        <w:t>real</w:t>
      </w:r>
      <w:proofErr w:type="spellEnd"/>
      <w:r>
        <w:t xml:space="preserve"> </w:t>
      </w:r>
      <w:proofErr w:type="spellStart"/>
      <w:r>
        <w:t>world</w:t>
      </w:r>
      <w:proofErr w:type="spellEnd"/>
      <w:r>
        <w:t xml:space="preserve">, in </w:t>
      </w:r>
      <w:proofErr w:type="spellStart"/>
      <w:r>
        <w:t>which</w:t>
      </w:r>
      <w:proofErr w:type="spellEnd"/>
      <w:r>
        <w:t xml:space="preserve"> </w:t>
      </w:r>
      <w:proofErr w:type="spellStart"/>
      <w:r>
        <w:t>there</w:t>
      </w:r>
      <w:proofErr w:type="spellEnd"/>
      <w:r>
        <w:t xml:space="preserve"> </w:t>
      </w:r>
      <w:proofErr w:type="spellStart"/>
      <w:r>
        <w:t>remain</w:t>
      </w:r>
      <w:proofErr w:type="spellEnd"/>
      <w:r>
        <w:t xml:space="preserve"> </w:t>
      </w:r>
      <w:proofErr w:type="spellStart"/>
      <w:r>
        <w:t>some</w:t>
      </w:r>
      <w:proofErr w:type="spellEnd"/>
      <w:r>
        <w:t xml:space="preserve"> (</w:t>
      </w:r>
      <w:proofErr w:type="spellStart"/>
      <w:r>
        <w:t>perhaps</w:t>
      </w:r>
      <w:proofErr w:type="spellEnd"/>
      <w:r>
        <w:t xml:space="preserve"> </w:t>
      </w:r>
      <w:proofErr w:type="spellStart"/>
      <w:r>
        <w:t>many</w:t>
      </w:r>
      <w:proofErr w:type="spellEnd"/>
      <w:r>
        <w:t xml:space="preserve">) producers and </w:t>
      </w:r>
      <w:proofErr w:type="spellStart"/>
      <w:r>
        <w:t>chain</w:t>
      </w:r>
      <w:proofErr w:type="spellEnd"/>
      <w:r>
        <w:t xml:space="preserve"> </w:t>
      </w:r>
      <w:proofErr w:type="spellStart"/>
      <w:r>
        <w:t>actors</w:t>
      </w:r>
      <w:proofErr w:type="spellEnd"/>
      <w:r>
        <w:t xml:space="preserve"> </w:t>
      </w:r>
      <w:proofErr w:type="spellStart"/>
      <w:r>
        <w:t>who</w:t>
      </w:r>
      <w:proofErr w:type="spellEnd"/>
      <w:r>
        <w:t xml:space="preserve"> are </w:t>
      </w:r>
      <w:proofErr w:type="spellStart"/>
      <w:r>
        <w:t>still</w:t>
      </w:r>
      <w:proofErr w:type="spellEnd"/>
      <w:r>
        <w:t xml:space="preserve"> </w:t>
      </w:r>
      <w:proofErr w:type="spellStart"/>
      <w:r>
        <w:t>operating</w:t>
      </w:r>
      <w:proofErr w:type="spellEnd"/>
      <w:r>
        <w:t xml:space="preserve"> </w:t>
      </w:r>
      <w:proofErr w:type="spellStart"/>
      <w:r>
        <w:t>inside</w:t>
      </w:r>
      <w:proofErr w:type="spellEnd"/>
      <w:r>
        <w:t xml:space="preserve"> the </w:t>
      </w:r>
      <w:proofErr w:type="spellStart"/>
      <w:r>
        <w:t>frontier</w:t>
      </w:r>
      <w:proofErr w:type="spellEnd"/>
      <w:r>
        <w:t xml:space="preserve">, and are </w:t>
      </w:r>
      <w:proofErr w:type="spellStart"/>
      <w:r>
        <w:t>therefore</w:t>
      </w:r>
      <w:proofErr w:type="spellEnd"/>
      <w:r>
        <w:t xml:space="preserve"> </w:t>
      </w:r>
      <w:proofErr w:type="spellStart"/>
      <w:r>
        <w:t>both</w:t>
      </w:r>
      <w:proofErr w:type="spellEnd"/>
      <w:r>
        <w:t xml:space="preserve"> </w:t>
      </w:r>
      <w:proofErr w:type="spellStart"/>
      <w:r>
        <w:t>inefficient</w:t>
      </w:r>
      <w:proofErr w:type="spellEnd"/>
      <w:r>
        <w:t xml:space="preserve"> and more </w:t>
      </w:r>
      <w:proofErr w:type="spellStart"/>
      <w:r>
        <w:t>animal-unfriendly</w:t>
      </w:r>
      <w:proofErr w:type="spellEnd"/>
      <w:r>
        <w:t xml:space="preserve"> </w:t>
      </w:r>
      <w:proofErr w:type="spellStart"/>
      <w:r>
        <w:t>than</w:t>
      </w:r>
      <w:proofErr w:type="spellEnd"/>
      <w:r>
        <w:t xml:space="preserve"> </w:t>
      </w:r>
      <w:proofErr w:type="spellStart"/>
      <w:r>
        <w:t>they</w:t>
      </w:r>
      <w:proofErr w:type="spellEnd"/>
      <w:r>
        <w:t xml:space="preserve"> </w:t>
      </w:r>
      <w:proofErr w:type="spellStart"/>
      <w:r>
        <w:t>could</w:t>
      </w:r>
      <w:proofErr w:type="spellEnd"/>
      <w:r>
        <w:t xml:space="preserve"> and </w:t>
      </w:r>
      <w:proofErr w:type="spellStart"/>
      <w:r>
        <w:t>should</w:t>
      </w:r>
      <w:proofErr w:type="spellEnd"/>
      <w:r>
        <w:t xml:space="preserve"> </w:t>
      </w:r>
      <w:proofErr w:type="spellStart"/>
      <w:r>
        <w:t>be</w:t>
      </w:r>
      <w:proofErr w:type="spellEnd"/>
      <w:r>
        <w:t xml:space="preserve">. The </w:t>
      </w:r>
      <w:proofErr w:type="spellStart"/>
      <w:r>
        <w:t>observations</w:t>
      </w:r>
      <w:proofErr w:type="spellEnd"/>
      <w:r>
        <w:t xml:space="preserve"> </w:t>
      </w:r>
      <w:proofErr w:type="spellStart"/>
      <w:r>
        <w:t>above</w:t>
      </w:r>
      <w:proofErr w:type="spellEnd"/>
      <w:r>
        <w:t xml:space="preserve">, and the </w:t>
      </w:r>
      <w:proofErr w:type="spellStart"/>
      <w:r>
        <w:t>implied</w:t>
      </w:r>
      <w:proofErr w:type="spellEnd"/>
      <w:r>
        <w:t xml:space="preserve"> </w:t>
      </w:r>
      <w:proofErr w:type="spellStart"/>
      <w:r>
        <w:t>policies</w:t>
      </w:r>
      <w:proofErr w:type="spellEnd"/>
      <w:r>
        <w:t xml:space="preserve"> to </w:t>
      </w:r>
      <w:proofErr w:type="spellStart"/>
      <w:r>
        <w:t>assist</w:t>
      </w:r>
      <w:proofErr w:type="spellEnd"/>
      <w:r>
        <w:t xml:space="preserve"> and </w:t>
      </w:r>
      <w:proofErr w:type="spellStart"/>
      <w:r>
        <w:t>encourage</w:t>
      </w:r>
      <w:proofErr w:type="spellEnd"/>
      <w:r>
        <w:t xml:space="preserve"> these </w:t>
      </w:r>
      <w:proofErr w:type="spellStart"/>
      <w:r>
        <w:t>people</w:t>
      </w:r>
      <w:proofErr w:type="spellEnd"/>
      <w:r>
        <w:t xml:space="preserve"> to </w:t>
      </w:r>
      <w:proofErr w:type="spellStart"/>
      <w:r>
        <w:t>become</w:t>
      </w:r>
      <w:proofErr w:type="spellEnd"/>
      <w:r>
        <w:t xml:space="preserve"> more </w:t>
      </w:r>
      <w:proofErr w:type="spellStart"/>
      <w:r>
        <w:t>efficient</w:t>
      </w:r>
      <w:proofErr w:type="spellEnd"/>
      <w:r>
        <w:t xml:space="preserve"> and more </w:t>
      </w:r>
      <w:proofErr w:type="spellStart"/>
      <w:r>
        <w:t>animal</w:t>
      </w:r>
      <w:proofErr w:type="spellEnd"/>
      <w:r>
        <w:t xml:space="preserve"> welfare </w:t>
      </w:r>
      <w:proofErr w:type="spellStart"/>
      <w:r>
        <w:t>friendly</w:t>
      </w:r>
      <w:proofErr w:type="spellEnd"/>
      <w:r>
        <w:t xml:space="preserve"> at the </w:t>
      </w:r>
      <w:proofErr w:type="spellStart"/>
      <w:r>
        <w:t>same</w:t>
      </w:r>
      <w:proofErr w:type="spellEnd"/>
      <w:r>
        <w:t xml:space="preserve"> time are taken as </w:t>
      </w:r>
      <w:proofErr w:type="spellStart"/>
      <w:r>
        <w:t>given</w:t>
      </w:r>
      <w:proofErr w:type="spellEnd"/>
      <w:r>
        <w:t xml:space="preserve"> in </w:t>
      </w:r>
      <w:proofErr w:type="spellStart"/>
      <w:r>
        <w:t>this</w:t>
      </w:r>
      <w:proofErr w:type="spellEnd"/>
      <w:r>
        <w:t xml:space="preserve"> part of the </w:t>
      </w:r>
      <w:proofErr w:type="spellStart"/>
      <w:r>
        <w:t>analysis</w:t>
      </w:r>
      <w:proofErr w:type="spellEnd"/>
    </w:p>
  </w:footnote>
  <w:footnote w:id="3">
    <w:p w:rsidR="00603C66" w:rsidRDefault="00603C66" w:rsidP="007A0F45">
      <w:pPr>
        <w:pStyle w:val="FootnoteText"/>
        <w:spacing w:after="0"/>
        <w:ind w:left="426" w:hanging="426"/>
        <w:jc w:val="both"/>
      </w:pPr>
      <w:r>
        <w:rPr>
          <w:rStyle w:val="FootnoteReference"/>
        </w:rPr>
        <w:footnoteRef/>
      </w:r>
      <w:r>
        <w:t xml:space="preserve"> </w:t>
      </w:r>
      <w:r>
        <w:tab/>
      </w:r>
      <w:proofErr w:type="spellStart"/>
      <w:r>
        <w:t>Since</w:t>
      </w:r>
      <w:proofErr w:type="spellEnd"/>
      <w:r>
        <w:t xml:space="preserve"> overall </w:t>
      </w:r>
      <w:proofErr w:type="spellStart"/>
      <w:r>
        <w:t>animal</w:t>
      </w:r>
      <w:proofErr w:type="spellEnd"/>
      <w:r>
        <w:t xml:space="preserve"> welfare </w:t>
      </w:r>
      <w:proofErr w:type="spellStart"/>
      <w:r>
        <w:t>depends</w:t>
      </w:r>
      <w:proofErr w:type="spellEnd"/>
      <w:r>
        <w:t xml:space="preserve"> </w:t>
      </w:r>
      <w:proofErr w:type="spellStart"/>
      <w:r>
        <w:t>on</w:t>
      </w:r>
      <w:proofErr w:type="spellEnd"/>
      <w:r>
        <w:t xml:space="preserve"> </w:t>
      </w:r>
      <w:proofErr w:type="spellStart"/>
      <w:r>
        <w:t>both</w:t>
      </w:r>
      <w:proofErr w:type="spellEnd"/>
      <w:r>
        <w:t xml:space="preserve"> the welfare of </w:t>
      </w:r>
      <w:proofErr w:type="spellStart"/>
      <w:r>
        <w:t>each</w:t>
      </w:r>
      <w:proofErr w:type="spellEnd"/>
      <w:r>
        <w:t xml:space="preserve"> </w:t>
      </w:r>
      <w:proofErr w:type="spellStart"/>
      <w:r>
        <w:t>animal</w:t>
      </w:r>
      <w:proofErr w:type="spellEnd"/>
      <w:r>
        <w:t xml:space="preserve"> and </w:t>
      </w:r>
      <w:proofErr w:type="spellStart"/>
      <w:r>
        <w:t>on</w:t>
      </w:r>
      <w:proofErr w:type="spellEnd"/>
      <w:r>
        <w:t xml:space="preserve"> the </w:t>
      </w:r>
      <w:proofErr w:type="spellStart"/>
      <w:r>
        <w:t>number</w:t>
      </w:r>
      <w:proofErr w:type="spellEnd"/>
      <w:r>
        <w:t xml:space="preserve"> of </w:t>
      </w:r>
      <w:proofErr w:type="spellStart"/>
      <w:r>
        <w:t>animals</w:t>
      </w:r>
      <w:proofErr w:type="spellEnd"/>
      <w:r>
        <w:t xml:space="preserve">, and </w:t>
      </w:r>
      <w:proofErr w:type="spellStart"/>
      <w:r>
        <w:t>since</w:t>
      </w:r>
      <w:proofErr w:type="spellEnd"/>
      <w:r>
        <w:t xml:space="preserve"> farm </w:t>
      </w:r>
      <w:proofErr w:type="spellStart"/>
      <w:r>
        <w:t>animals</w:t>
      </w:r>
      <w:proofErr w:type="spellEnd"/>
      <w:r>
        <w:t xml:space="preserve"> are </w:t>
      </w:r>
      <w:proofErr w:type="spellStart"/>
      <w:r>
        <w:t>kept</w:t>
      </w:r>
      <w:proofErr w:type="spellEnd"/>
      <w:r>
        <w:t xml:space="preserve"> </w:t>
      </w:r>
      <w:proofErr w:type="spellStart"/>
      <w:r>
        <w:t>primarily</w:t>
      </w:r>
      <w:proofErr w:type="spellEnd"/>
      <w:r>
        <w:t xml:space="preserve"> to meet </w:t>
      </w:r>
      <w:proofErr w:type="spellStart"/>
      <w:r>
        <w:t>consumer</w:t>
      </w:r>
      <w:proofErr w:type="spellEnd"/>
      <w:r>
        <w:t xml:space="preserve"> and </w:t>
      </w:r>
      <w:proofErr w:type="spellStart"/>
      <w:r>
        <w:t>market</w:t>
      </w:r>
      <w:proofErr w:type="spellEnd"/>
      <w:r>
        <w:t xml:space="preserve"> </w:t>
      </w:r>
      <w:proofErr w:type="spellStart"/>
      <w:r>
        <w:t>demands</w:t>
      </w:r>
      <w:proofErr w:type="spellEnd"/>
      <w:r>
        <w:t xml:space="preserve">, </w:t>
      </w:r>
      <w:proofErr w:type="spellStart"/>
      <w:r>
        <w:t>animal</w:t>
      </w:r>
      <w:proofErr w:type="spellEnd"/>
      <w:r>
        <w:t xml:space="preserve"> welfare </w:t>
      </w:r>
      <w:proofErr w:type="spellStart"/>
      <w:r>
        <w:t>depends</w:t>
      </w:r>
      <w:proofErr w:type="spellEnd"/>
      <w:r>
        <w:t xml:space="preserve"> </w:t>
      </w:r>
      <w:proofErr w:type="spellStart"/>
      <w:r>
        <w:t>on</w:t>
      </w:r>
      <w:proofErr w:type="spellEnd"/>
      <w:r>
        <w:t xml:space="preserve"> the </w:t>
      </w:r>
      <w:proofErr w:type="spellStart"/>
      <w:r>
        <w:t>demand</w:t>
      </w:r>
      <w:proofErr w:type="spellEnd"/>
      <w:r>
        <w:t xml:space="preserve"> </w:t>
      </w:r>
      <w:proofErr w:type="spellStart"/>
      <w:r>
        <w:t>conditions</w:t>
      </w:r>
      <w:proofErr w:type="spellEnd"/>
      <w:r>
        <w:t xml:space="preserve"> </w:t>
      </w:r>
      <w:proofErr w:type="spellStart"/>
      <w:r>
        <w:t>for</w:t>
      </w:r>
      <w:proofErr w:type="spellEnd"/>
      <w:r>
        <w:t xml:space="preserve"> </w:t>
      </w:r>
      <w:proofErr w:type="spellStart"/>
      <w:r>
        <w:t>animal</w:t>
      </w:r>
      <w:proofErr w:type="spellEnd"/>
      <w:r>
        <w:t xml:space="preserve"> </w:t>
      </w:r>
      <w:proofErr w:type="spellStart"/>
      <w:r>
        <w:t>products</w:t>
      </w:r>
      <w:proofErr w:type="spellEnd"/>
      <w:r>
        <w:t xml:space="preserve">, </w:t>
      </w:r>
      <w:proofErr w:type="spellStart"/>
      <w:r>
        <w:t>which</w:t>
      </w:r>
      <w:proofErr w:type="spellEnd"/>
      <w:r>
        <w:t xml:space="preserve"> are </w:t>
      </w:r>
      <w:proofErr w:type="spellStart"/>
      <w:r>
        <w:t>clearly</w:t>
      </w:r>
      <w:proofErr w:type="spellEnd"/>
      <w:r>
        <w:t xml:space="preserve"> </w:t>
      </w:r>
      <w:proofErr w:type="spellStart"/>
      <w:r>
        <w:t>excludable</w:t>
      </w:r>
      <w:proofErr w:type="spellEnd"/>
      <w:r>
        <w:t xml:space="preserve"> and </w:t>
      </w:r>
      <w:proofErr w:type="spellStart"/>
      <w:r>
        <w:t>rival</w:t>
      </w:r>
      <w:proofErr w:type="spellEnd"/>
      <w:r>
        <w:t xml:space="preserve"> </w:t>
      </w:r>
      <w:proofErr w:type="spellStart"/>
      <w:r>
        <w:t>goods</w:t>
      </w:r>
      <w:proofErr w:type="spellEnd"/>
      <w:r>
        <w:t xml:space="preserve">, </w:t>
      </w:r>
      <w:proofErr w:type="spellStart"/>
      <w:r>
        <w:t>not</w:t>
      </w:r>
      <w:proofErr w:type="spellEnd"/>
      <w:r>
        <w:t xml:space="preserve"> public </w:t>
      </w:r>
      <w:proofErr w:type="spellStart"/>
      <w:r>
        <w:t>goods</w:t>
      </w:r>
      <w:proofErr w:type="spellEnd"/>
      <w:r>
        <w:t>.</w:t>
      </w:r>
    </w:p>
  </w:footnote>
  <w:footnote w:id="4">
    <w:p w:rsidR="00603C66" w:rsidRDefault="00603C66" w:rsidP="00DC142C">
      <w:pPr>
        <w:pStyle w:val="FootnoteText"/>
        <w:spacing w:after="0"/>
        <w:ind w:left="426" w:hanging="426"/>
      </w:pPr>
      <w:r>
        <w:rPr>
          <w:rStyle w:val="FootnoteReference"/>
        </w:rPr>
        <w:footnoteRef/>
      </w:r>
      <w:r>
        <w:t xml:space="preserve"> </w:t>
      </w:r>
      <w:r>
        <w:tab/>
      </w:r>
      <w:r>
        <w:t xml:space="preserve">We </w:t>
      </w:r>
      <w:proofErr w:type="spellStart"/>
      <w:r>
        <w:t>might</w:t>
      </w:r>
      <w:proofErr w:type="spellEnd"/>
      <w:r>
        <w:t xml:space="preserve"> </w:t>
      </w:r>
      <w:proofErr w:type="spellStart"/>
      <w:r>
        <w:t>also</w:t>
      </w:r>
      <w:proofErr w:type="spellEnd"/>
      <w:r>
        <w:t xml:space="preserve"> </w:t>
      </w:r>
      <w:proofErr w:type="spellStart"/>
      <w:r>
        <w:t>note</w:t>
      </w:r>
      <w:proofErr w:type="spellEnd"/>
      <w:r>
        <w:t xml:space="preserve"> </w:t>
      </w:r>
      <w:proofErr w:type="spellStart"/>
      <w:r>
        <w:t>that</w:t>
      </w:r>
      <w:proofErr w:type="spellEnd"/>
      <w:r>
        <w:t xml:space="preserve"> the </w:t>
      </w:r>
      <w:proofErr w:type="spellStart"/>
      <w:r>
        <w:t>psychological</w:t>
      </w:r>
      <w:proofErr w:type="spellEnd"/>
      <w:r>
        <w:t xml:space="preserve"> </w:t>
      </w:r>
      <w:proofErr w:type="spellStart"/>
      <w:r>
        <w:t>consumption</w:t>
      </w:r>
      <w:proofErr w:type="spellEnd"/>
      <w:r>
        <w:t xml:space="preserve"> </w:t>
      </w:r>
      <w:proofErr w:type="spellStart"/>
      <w:r>
        <w:t>externalities</w:t>
      </w:r>
      <w:proofErr w:type="spellEnd"/>
      <w:r>
        <w:t xml:space="preserve"> </w:t>
      </w:r>
      <w:proofErr w:type="spellStart"/>
      <w:r>
        <w:t>which</w:t>
      </w:r>
      <w:proofErr w:type="spellEnd"/>
      <w:r>
        <w:t xml:space="preserve"> </w:t>
      </w:r>
      <w:proofErr w:type="spellStart"/>
      <w:r>
        <w:t>clearly</w:t>
      </w:r>
      <w:proofErr w:type="spellEnd"/>
      <w:r>
        <w:t xml:space="preserve"> </w:t>
      </w:r>
      <w:proofErr w:type="spellStart"/>
      <w:r>
        <w:t>exist</w:t>
      </w:r>
      <w:proofErr w:type="spellEnd"/>
      <w:r>
        <w:t xml:space="preserve"> </w:t>
      </w:r>
      <w:proofErr w:type="spellStart"/>
      <w:r>
        <w:t>for</w:t>
      </w:r>
      <w:proofErr w:type="spellEnd"/>
      <w:r>
        <w:t xml:space="preserve"> </w:t>
      </w:r>
      <w:proofErr w:type="spellStart"/>
      <w:r>
        <w:t>animal</w:t>
      </w:r>
      <w:proofErr w:type="spellEnd"/>
      <w:r>
        <w:t xml:space="preserve"> welfare, </w:t>
      </w:r>
      <w:proofErr w:type="spellStart"/>
      <w:r>
        <w:t>also</w:t>
      </w:r>
      <w:proofErr w:type="spellEnd"/>
      <w:r>
        <w:t xml:space="preserve"> </w:t>
      </w:r>
      <w:proofErr w:type="spellStart"/>
      <w:r>
        <w:t>exist</w:t>
      </w:r>
      <w:proofErr w:type="spellEnd"/>
      <w:r>
        <w:t xml:space="preserve"> </w:t>
      </w:r>
      <w:proofErr w:type="spellStart"/>
      <w:r>
        <w:t>for</w:t>
      </w:r>
      <w:proofErr w:type="spellEnd"/>
      <w:r>
        <w:t xml:space="preserve"> </w:t>
      </w:r>
      <w:proofErr w:type="spellStart"/>
      <w:r>
        <w:t>many</w:t>
      </w:r>
      <w:proofErr w:type="spellEnd"/>
      <w:r>
        <w:t xml:space="preserve"> </w:t>
      </w:r>
      <w:proofErr w:type="spellStart"/>
      <w:r>
        <w:t>other</w:t>
      </w:r>
      <w:proofErr w:type="spellEnd"/>
      <w:r>
        <w:t xml:space="preserve"> </w:t>
      </w:r>
      <w:proofErr w:type="spellStart"/>
      <w:r>
        <w:t>goods</w:t>
      </w:r>
      <w:proofErr w:type="spellEnd"/>
      <w:r>
        <w:t xml:space="preserve"> and services – </w:t>
      </w:r>
      <w:proofErr w:type="spellStart"/>
      <w:r>
        <w:t>such</w:t>
      </w:r>
      <w:proofErr w:type="spellEnd"/>
      <w:r>
        <w:t xml:space="preserve"> as alcohol, </w:t>
      </w:r>
      <w:proofErr w:type="spellStart"/>
      <w:r>
        <w:t>pornography</w:t>
      </w:r>
      <w:proofErr w:type="spellEnd"/>
      <w:r>
        <w:t xml:space="preserve">, </w:t>
      </w:r>
      <w:proofErr w:type="spellStart"/>
      <w:r>
        <w:t>energy</w:t>
      </w:r>
      <w:proofErr w:type="spellEnd"/>
      <w:r>
        <w:t xml:space="preserve"> </w:t>
      </w:r>
      <w:proofErr w:type="spellStart"/>
      <w:r>
        <w:t>inefficient</w:t>
      </w:r>
      <w:proofErr w:type="spellEnd"/>
      <w:r>
        <w:t xml:space="preserve"> </w:t>
      </w:r>
      <w:proofErr w:type="spellStart"/>
      <w:r>
        <w:t>cars</w:t>
      </w:r>
      <w:proofErr w:type="spellEnd"/>
      <w:r>
        <w:t xml:space="preserve"> and </w:t>
      </w:r>
      <w:proofErr w:type="spellStart"/>
      <w:r>
        <w:t>so</w:t>
      </w:r>
      <w:proofErr w:type="spellEnd"/>
      <w:r>
        <w:t xml:space="preserve"> </w:t>
      </w:r>
      <w:proofErr w:type="spellStart"/>
      <w:r>
        <w:t>forth</w:t>
      </w:r>
      <w:proofErr w:type="spellEnd"/>
      <w:r>
        <w:t>.</w:t>
      </w:r>
    </w:p>
  </w:footnote>
  <w:footnote w:id="5">
    <w:p w:rsidR="00603C66" w:rsidRDefault="00603C66" w:rsidP="00DC142C">
      <w:pPr>
        <w:pStyle w:val="FootnoteText"/>
        <w:spacing w:after="0"/>
        <w:ind w:left="426" w:hanging="426"/>
        <w:jc w:val="both"/>
      </w:pPr>
      <w:r>
        <w:rPr>
          <w:rStyle w:val="FootnoteReference"/>
        </w:rPr>
        <w:footnoteRef/>
      </w:r>
      <w:r>
        <w:t xml:space="preserve"> </w:t>
      </w:r>
      <w:r>
        <w:tab/>
      </w:r>
      <w:proofErr w:type="spellStart"/>
      <w:r>
        <w:t>Another</w:t>
      </w:r>
      <w:proofErr w:type="spellEnd"/>
      <w:r>
        <w:t xml:space="preserve"> </w:t>
      </w:r>
      <w:proofErr w:type="spellStart"/>
      <w:r>
        <w:t>example</w:t>
      </w:r>
      <w:proofErr w:type="spellEnd"/>
      <w:r>
        <w:t xml:space="preserve"> is the issue of </w:t>
      </w:r>
      <w:proofErr w:type="spellStart"/>
      <w:r>
        <w:t>halal</w:t>
      </w:r>
      <w:proofErr w:type="spellEnd"/>
      <w:r>
        <w:t xml:space="preserve"> </w:t>
      </w:r>
      <w:proofErr w:type="spellStart"/>
      <w:r>
        <w:t>slaughter</w:t>
      </w:r>
      <w:proofErr w:type="spellEnd"/>
      <w:r>
        <w:t xml:space="preserve"> – the </w:t>
      </w:r>
      <w:proofErr w:type="spellStart"/>
      <w:r>
        <w:t>moral</w:t>
      </w:r>
      <w:proofErr w:type="spellEnd"/>
      <w:r>
        <w:t>/</w:t>
      </w:r>
      <w:proofErr w:type="spellStart"/>
      <w:r>
        <w:t>ethological</w:t>
      </w:r>
      <w:proofErr w:type="spellEnd"/>
      <w:r>
        <w:t>/</w:t>
      </w:r>
      <w:proofErr w:type="spellStart"/>
      <w:r>
        <w:t>ethical</w:t>
      </w:r>
      <w:proofErr w:type="spellEnd"/>
      <w:r>
        <w:t xml:space="preserve"> and </w:t>
      </w:r>
      <w:proofErr w:type="spellStart"/>
      <w:r>
        <w:t>cultural</w:t>
      </w:r>
      <w:proofErr w:type="spellEnd"/>
      <w:r>
        <w:t xml:space="preserve"> issues </w:t>
      </w:r>
      <w:proofErr w:type="spellStart"/>
      <w:r>
        <w:t>over-ride</w:t>
      </w:r>
      <w:proofErr w:type="spellEnd"/>
      <w:r>
        <w:t xml:space="preserve"> the </w:t>
      </w:r>
      <w:proofErr w:type="spellStart"/>
      <w:r>
        <w:t>supposedly</w:t>
      </w:r>
      <w:proofErr w:type="spellEnd"/>
      <w:r>
        <w:t xml:space="preserve"> </w:t>
      </w:r>
      <w:proofErr w:type="spellStart"/>
      <w:r>
        <w:t>rather</w:t>
      </w:r>
      <w:proofErr w:type="spellEnd"/>
      <w:r>
        <w:t xml:space="preserve"> </w:t>
      </w:r>
      <w:proofErr w:type="spellStart"/>
      <w:r>
        <w:t>small</w:t>
      </w:r>
      <w:proofErr w:type="spellEnd"/>
      <w:r>
        <w:t xml:space="preserve"> </w:t>
      </w:r>
      <w:proofErr w:type="spellStart"/>
      <w:r>
        <w:t>economic</w:t>
      </w:r>
      <w:proofErr w:type="spellEnd"/>
      <w:r>
        <w:t xml:space="preserve"> </w:t>
      </w:r>
      <w:proofErr w:type="spellStart"/>
      <w:r>
        <w:t>consequences</w:t>
      </w:r>
      <w:proofErr w:type="spellEnd"/>
      <w:r>
        <w:t xml:space="preserve">. </w:t>
      </w:r>
      <w:proofErr w:type="spellStart"/>
      <w:r>
        <w:t>However</w:t>
      </w:r>
      <w:proofErr w:type="spellEnd"/>
      <w:r>
        <w:t xml:space="preserve">, </w:t>
      </w:r>
      <w:proofErr w:type="spellStart"/>
      <w:r>
        <w:t>consider</w:t>
      </w:r>
      <w:proofErr w:type="spellEnd"/>
      <w:r>
        <w:t xml:space="preserve"> the </w:t>
      </w:r>
      <w:proofErr w:type="spellStart"/>
      <w:r>
        <w:t>likely</w:t>
      </w:r>
      <w:proofErr w:type="spellEnd"/>
      <w:r>
        <w:t xml:space="preserve"> </w:t>
      </w:r>
      <w:proofErr w:type="spellStart"/>
      <w:r>
        <w:t>consequences</w:t>
      </w:r>
      <w:proofErr w:type="spellEnd"/>
      <w:r>
        <w:t xml:space="preserve"> of a </w:t>
      </w:r>
      <w:proofErr w:type="spellStart"/>
      <w:r>
        <w:t>national</w:t>
      </w:r>
      <w:proofErr w:type="spellEnd"/>
      <w:r>
        <w:t xml:space="preserve"> (</w:t>
      </w:r>
      <w:proofErr w:type="spellStart"/>
      <w:r>
        <w:t>or</w:t>
      </w:r>
      <w:proofErr w:type="spellEnd"/>
      <w:r>
        <w:t xml:space="preserve"> </w:t>
      </w:r>
      <w:proofErr w:type="spellStart"/>
      <w:r>
        <w:t>EU-wide</w:t>
      </w:r>
      <w:proofErr w:type="spellEnd"/>
      <w:r>
        <w:t xml:space="preserve">) ban </w:t>
      </w:r>
      <w:proofErr w:type="spellStart"/>
      <w:r>
        <w:t>on</w:t>
      </w:r>
      <w:proofErr w:type="spellEnd"/>
      <w:r>
        <w:t xml:space="preserve"> </w:t>
      </w:r>
      <w:proofErr w:type="spellStart"/>
      <w:r>
        <w:t>such</w:t>
      </w:r>
      <w:proofErr w:type="spellEnd"/>
      <w:r>
        <w:t xml:space="preserve"> </w:t>
      </w:r>
      <w:proofErr w:type="spellStart"/>
      <w:r>
        <w:t>slaughter</w:t>
      </w:r>
      <w:proofErr w:type="spellEnd"/>
      <w:r>
        <w:t xml:space="preserve">. </w:t>
      </w:r>
      <w:proofErr w:type="spellStart"/>
      <w:r>
        <w:t>Aside</w:t>
      </w:r>
      <w:proofErr w:type="spellEnd"/>
      <w:r>
        <w:t xml:space="preserve"> </w:t>
      </w:r>
      <w:proofErr w:type="spellStart"/>
      <w:r>
        <w:t>from</w:t>
      </w:r>
      <w:proofErr w:type="spellEnd"/>
      <w:r>
        <w:t xml:space="preserve"> </w:t>
      </w:r>
      <w:proofErr w:type="spellStart"/>
      <w:r>
        <w:t>substantial</w:t>
      </w:r>
      <w:proofErr w:type="spellEnd"/>
      <w:r>
        <w:t xml:space="preserve"> </w:t>
      </w:r>
      <w:proofErr w:type="spellStart"/>
      <w:r>
        <w:t>outcry</w:t>
      </w:r>
      <w:proofErr w:type="spellEnd"/>
      <w:r>
        <w:t xml:space="preserve"> </w:t>
      </w:r>
      <w:proofErr w:type="spellStart"/>
      <w:r>
        <w:t>about</w:t>
      </w:r>
      <w:proofErr w:type="spellEnd"/>
      <w:r>
        <w:t xml:space="preserve"> </w:t>
      </w:r>
      <w:proofErr w:type="spellStart"/>
      <w:r>
        <w:t>discrimination</w:t>
      </w:r>
      <w:proofErr w:type="spellEnd"/>
      <w:r>
        <w:t xml:space="preserve"> </w:t>
      </w:r>
      <w:proofErr w:type="spellStart"/>
      <w:r>
        <w:t>against</w:t>
      </w:r>
      <w:proofErr w:type="spellEnd"/>
      <w:r>
        <w:t xml:space="preserve"> </w:t>
      </w:r>
      <w:proofErr w:type="spellStart"/>
      <w:r>
        <w:t>specific</w:t>
      </w:r>
      <w:proofErr w:type="spellEnd"/>
      <w:r>
        <w:t xml:space="preserve"> </w:t>
      </w:r>
      <w:proofErr w:type="spellStart"/>
      <w:r>
        <w:t>religions</w:t>
      </w:r>
      <w:proofErr w:type="spellEnd"/>
      <w:r>
        <w:t xml:space="preserve"> (more </w:t>
      </w:r>
      <w:proofErr w:type="spellStart"/>
      <w:r>
        <w:t>or</w:t>
      </w:r>
      <w:proofErr w:type="spellEnd"/>
      <w:r>
        <w:t xml:space="preserve"> </w:t>
      </w:r>
      <w:proofErr w:type="spellStart"/>
      <w:r>
        <w:t>less</w:t>
      </w:r>
      <w:proofErr w:type="spellEnd"/>
      <w:r>
        <w:t xml:space="preserve"> </w:t>
      </w:r>
      <w:proofErr w:type="spellStart"/>
      <w:r>
        <w:t>arguable</w:t>
      </w:r>
      <w:proofErr w:type="spellEnd"/>
      <w:r>
        <w:t xml:space="preserve">), </w:t>
      </w:r>
      <w:proofErr w:type="spellStart"/>
      <w:r>
        <w:t>those</w:t>
      </w:r>
      <w:proofErr w:type="spellEnd"/>
      <w:r>
        <w:t xml:space="preserve"> </w:t>
      </w:r>
      <w:proofErr w:type="spellStart"/>
      <w:r>
        <w:t>determined</w:t>
      </w:r>
      <w:proofErr w:type="spellEnd"/>
      <w:r>
        <w:t xml:space="preserve"> to respect </w:t>
      </w:r>
      <w:proofErr w:type="spellStart"/>
      <w:r>
        <w:t>their</w:t>
      </w:r>
      <w:proofErr w:type="spellEnd"/>
      <w:r>
        <w:t xml:space="preserve"> </w:t>
      </w:r>
      <w:proofErr w:type="spellStart"/>
      <w:r>
        <w:t>religious</w:t>
      </w:r>
      <w:proofErr w:type="spellEnd"/>
      <w:r>
        <w:t xml:space="preserve"> </w:t>
      </w:r>
      <w:proofErr w:type="spellStart"/>
      <w:r>
        <w:t>convictions</w:t>
      </w:r>
      <w:proofErr w:type="spellEnd"/>
      <w:r>
        <w:t xml:space="preserve"> </w:t>
      </w:r>
      <w:proofErr w:type="spellStart"/>
      <w:r>
        <w:t>would</w:t>
      </w:r>
      <w:proofErr w:type="spellEnd"/>
      <w:r>
        <w:t xml:space="preserve"> </w:t>
      </w:r>
      <w:proofErr w:type="spellStart"/>
      <w:r>
        <w:t>be</w:t>
      </w:r>
      <w:proofErr w:type="spellEnd"/>
      <w:r>
        <w:t xml:space="preserve"> </w:t>
      </w:r>
      <w:proofErr w:type="spellStart"/>
      <w:r>
        <w:t>obliged</w:t>
      </w:r>
      <w:proofErr w:type="spellEnd"/>
      <w:r>
        <w:t xml:space="preserve"> to </w:t>
      </w:r>
      <w:proofErr w:type="spellStart"/>
      <w:r>
        <w:t>source</w:t>
      </w:r>
      <w:proofErr w:type="spellEnd"/>
      <w:r>
        <w:t xml:space="preserve"> </w:t>
      </w:r>
      <w:proofErr w:type="spellStart"/>
      <w:r>
        <w:t>their</w:t>
      </w:r>
      <w:proofErr w:type="spellEnd"/>
      <w:r>
        <w:t xml:space="preserve"> </w:t>
      </w:r>
      <w:proofErr w:type="spellStart"/>
      <w:r>
        <w:t>halal</w:t>
      </w:r>
      <w:proofErr w:type="spellEnd"/>
      <w:r>
        <w:t xml:space="preserve"> </w:t>
      </w:r>
      <w:proofErr w:type="spellStart"/>
      <w:r>
        <w:t>meat</w:t>
      </w:r>
      <w:proofErr w:type="spellEnd"/>
      <w:r>
        <w:t xml:space="preserve"> and </w:t>
      </w:r>
      <w:proofErr w:type="spellStart"/>
      <w:r>
        <w:t>meat</w:t>
      </w:r>
      <w:proofErr w:type="spellEnd"/>
      <w:r>
        <w:t xml:space="preserve"> </w:t>
      </w:r>
      <w:proofErr w:type="spellStart"/>
      <w:r>
        <w:t>products</w:t>
      </w:r>
      <w:proofErr w:type="spellEnd"/>
      <w:r>
        <w:t xml:space="preserve"> </w:t>
      </w:r>
      <w:proofErr w:type="spellStart"/>
      <w:r>
        <w:t>elsewhere</w:t>
      </w:r>
      <w:proofErr w:type="spellEnd"/>
      <w:r>
        <w:t xml:space="preserve"> </w:t>
      </w:r>
      <w:proofErr w:type="spellStart"/>
      <w:r>
        <w:t>than</w:t>
      </w:r>
      <w:proofErr w:type="spellEnd"/>
      <w:r>
        <w:t xml:space="preserve"> in the country/</w:t>
      </w:r>
      <w:proofErr w:type="spellStart"/>
      <w:r>
        <w:t>region</w:t>
      </w:r>
      <w:proofErr w:type="spellEnd"/>
      <w:r>
        <w:t xml:space="preserve"> </w:t>
      </w:r>
      <w:proofErr w:type="spellStart"/>
      <w:r>
        <w:t>introducing</w:t>
      </w:r>
      <w:proofErr w:type="spellEnd"/>
      <w:r>
        <w:t xml:space="preserve"> the ban. </w:t>
      </w:r>
      <w:proofErr w:type="spellStart"/>
      <w:r>
        <w:t>One</w:t>
      </w:r>
      <w:proofErr w:type="spellEnd"/>
      <w:r>
        <w:t xml:space="preserve"> </w:t>
      </w:r>
      <w:proofErr w:type="spellStart"/>
      <w:r>
        <w:t>consequence</w:t>
      </w:r>
      <w:proofErr w:type="spellEnd"/>
      <w:r>
        <w:t xml:space="preserve"> </w:t>
      </w:r>
      <w:proofErr w:type="spellStart"/>
      <w:r>
        <w:t>would</w:t>
      </w:r>
      <w:proofErr w:type="spellEnd"/>
      <w:r>
        <w:t xml:space="preserve"> </w:t>
      </w:r>
      <w:proofErr w:type="spellStart"/>
      <w:r>
        <w:t>then</w:t>
      </w:r>
      <w:proofErr w:type="spellEnd"/>
      <w:r>
        <w:t xml:space="preserve"> </w:t>
      </w:r>
      <w:proofErr w:type="spellStart"/>
      <w:r>
        <w:t>be</w:t>
      </w:r>
      <w:proofErr w:type="spellEnd"/>
      <w:r>
        <w:t xml:space="preserve"> a </w:t>
      </w:r>
      <w:proofErr w:type="spellStart"/>
      <w:r>
        <w:t>reduction</w:t>
      </w:r>
      <w:proofErr w:type="spellEnd"/>
      <w:r>
        <w:t xml:space="preserve"> in the </w:t>
      </w:r>
      <w:proofErr w:type="spellStart"/>
      <w:r>
        <w:t>size</w:t>
      </w:r>
      <w:proofErr w:type="spellEnd"/>
      <w:r>
        <w:t xml:space="preserve"> of the </w:t>
      </w:r>
      <w:proofErr w:type="spellStart"/>
      <w:r>
        <w:t>local</w:t>
      </w:r>
      <w:proofErr w:type="spellEnd"/>
      <w:r>
        <w:t xml:space="preserve"> sector, and a </w:t>
      </w:r>
      <w:proofErr w:type="spellStart"/>
      <w:r>
        <w:t>tendency</w:t>
      </w:r>
      <w:proofErr w:type="spellEnd"/>
      <w:r>
        <w:t xml:space="preserve"> </w:t>
      </w:r>
      <w:proofErr w:type="spellStart"/>
      <w:r>
        <w:t>for</w:t>
      </w:r>
      <w:proofErr w:type="spellEnd"/>
      <w:r>
        <w:t xml:space="preserve"> </w:t>
      </w:r>
      <w:proofErr w:type="spellStart"/>
      <w:r>
        <w:t>prices</w:t>
      </w:r>
      <w:proofErr w:type="spellEnd"/>
      <w:r>
        <w:t xml:space="preserve"> to </w:t>
      </w:r>
      <w:proofErr w:type="spellStart"/>
      <w:r>
        <w:t>increase</w:t>
      </w:r>
      <w:proofErr w:type="spellEnd"/>
      <w:r>
        <w:t xml:space="preserve"> </w:t>
      </w:r>
      <w:proofErr w:type="spellStart"/>
      <w:r>
        <w:t>for</w:t>
      </w:r>
      <w:proofErr w:type="spellEnd"/>
      <w:r>
        <w:t xml:space="preserve"> </w:t>
      </w:r>
      <w:proofErr w:type="spellStart"/>
      <w:r>
        <w:t>everbody</w:t>
      </w:r>
      <w:proofErr w:type="spellEnd"/>
      <w:r>
        <w:t xml:space="preserve"> (</w:t>
      </w:r>
      <w:proofErr w:type="spellStart"/>
      <w:r>
        <w:t>see</w:t>
      </w:r>
      <w:proofErr w:type="spellEnd"/>
      <w:r>
        <w:t xml:space="preserve"> </w:t>
      </w:r>
      <w:proofErr w:type="spellStart"/>
      <w:r>
        <w:t>analysis</w:t>
      </w:r>
      <w:proofErr w:type="spellEnd"/>
      <w:r>
        <w:t xml:space="preserve"> in D4.3). </w:t>
      </w:r>
      <w:proofErr w:type="spellStart"/>
      <w:r>
        <w:t>There</w:t>
      </w:r>
      <w:proofErr w:type="spellEnd"/>
      <w:r>
        <w:t xml:space="preserve"> </w:t>
      </w:r>
      <w:proofErr w:type="spellStart"/>
      <w:r>
        <w:t>might</w:t>
      </w:r>
      <w:proofErr w:type="spellEnd"/>
      <w:r>
        <w:t xml:space="preserve"> </w:t>
      </w:r>
      <w:proofErr w:type="spellStart"/>
      <w:r>
        <w:t>also</w:t>
      </w:r>
      <w:proofErr w:type="spellEnd"/>
      <w:r>
        <w:t xml:space="preserve"> </w:t>
      </w:r>
      <w:proofErr w:type="spellStart"/>
      <w:r>
        <w:t>be</w:t>
      </w:r>
      <w:proofErr w:type="spellEnd"/>
      <w:r>
        <w:t xml:space="preserve"> </w:t>
      </w:r>
      <w:proofErr w:type="spellStart"/>
      <w:r>
        <w:t>increased</w:t>
      </w:r>
      <w:proofErr w:type="spellEnd"/>
      <w:r>
        <w:t xml:space="preserve"> </w:t>
      </w:r>
      <w:proofErr w:type="spellStart"/>
      <w:r>
        <w:t>incentives</w:t>
      </w:r>
      <w:proofErr w:type="spellEnd"/>
      <w:r>
        <w:t xml:space="preserve"> </w:t>
      </w:r>
      <w:proofErr w:type="spellStart"/>
      <w:r>
        <w:t>for</w:t>
      </w:r>
      <w:proofErr w:type="spellEnd"/>
      <w:r>
        <w:t xml:space="preserve"> </w:t>
      </w:r>
      <w:proofErr w:type="spellStart"/>
      <w:r>
        <w:t>particular</w:t>
      </w:r>
      <w:proofErr w:type="spellEnd"/>
      <w:r>
        <w:t xml:space="preserve"> specialist </w:t>
      </w:r>
      <w:proofErr w:type="spellStart"/>
      <w:r>
        <w:t>suppliers</w:t>
      </w:r>
      <w:proofErr w:type="spellEnd"/>
      <w:r>
        <w:t xml:space="preserve"> to </w:t>
      </w:r>
      <w:proofErr w:type="spellStart"/>
      <w:r>
        <w:t>operate</w:t>
      </w:r>
      <w:proofErr w:type="spellEnd"/>
      <w:r>
        <w:t xml:space="preserve"> </w:t>
      </w:r>
      <w:proofErr w:type="spellStart"/>
      <w:r>
        <w:t>outside</w:t>
      </w:r>
      <w:proofErr w:type="spellEnd"/>
      <w:r>
        <w:t xml:space="preserve"> the </w:t>
      </w:r>
      <w:proofErr w:type="spellStart"/>
      <w:r>
        <w:t>formal</w:t>
      </w:r>
      <w:proofErr w:type="spellEnd"/>
      <w:r>
        <w:t xml:space="preserve"> (and </w:t>
      </w:r>
      <w:proofErr w:type="spellStart"/>
      <w:r>
        <w:t>policed</w:t>
      </w:r>
      <w:proofErr w:type="spellEnd"/>
      <w:r>
        <w:t xml:space="preserve">) </w:t>
      </w:r>
      <w:proofErr w:type="spellStart"/>
      <w:r>
        <w:t>slaughter</w:t>
      </w:r>
      <w:proofErr w:type="spellEnd"/>
      <w:r>
        <w:t xml:space="preserve"> sector, and </w:t>
      </w:r>
      <w:proofErr w:type="spellStart"/>
      <w:r>
        <w:t>an</w:t>
      </w:r>
      <w:proofErr w:type="spellEnd"/>
      <w:r>
        <w:t xml:space="preserve"> </w:t>
      </w:r>
      <w:proofErr w:type="spellStart"/>
      <w:r>
        <w:t>increase</w:t>
      </w:r>
      <w:proofErr w:type="spellEnd"/>
      <w:r>
        <w:t xml:space="preserve"> in </w:t>
      </w:r>
      <w:proofErr w:type="spellStart"/>
      <w:r>
        <w:t>informal</w:t>
      </w:r>
      <w:proofErr w:type="spellEnd"/>
      <w:r>
        <w:t xml:space="preserve"> and </w:t>
      </w:r>
      <w:proofErr w:type="spellStart"/>
      <w:r>
        <w:t>unpoliced</w:t>
      </w:r>
      <w:proofErr w:type="spellEnd"/>
      <w:r>
        <w:t xml:space="preserve"> (and </w:t>
      </w:r>
      <w:proofErr w:type="spellStart"/>
      <w:r>
        <w:t>illegal</w:t>
      </w:r>
      <w:proofErr w:type="spellEnd"/>
      <w:r>
        <w:t xml:space="preserve">) </w:t>
      </w:r>
      <w:proofErr w:type="spellStart"/>
      <w:r>
        <w:t>operations</w:t>
      </w:r>
      <w:proofErr w:type="spellEnd"/>
      <w:r>
        <w:t xml:space="preserve">. </w:t>
      </w:r>
      <w:proofErr w:type="spellStart"/>
      <w:r>
        <w:t>If</w:t>
      </w:r>
      <w:proofErr w:type="spellEnd"/>
      <w:r>
        <w:t xml:space="preserve"> </w:t>
      </w:r>
      <w:proofErr w:type="spellStart"/>
      <w:r>
        <w:t>so</w:t>
      </w:r>
      <w:proofErr w:type="spellEnd"/>
      <w:r>
        <w:t xml:space="preserve">, </w:t>
      </w:r>
      <w:proofErr w:type="spellStart"/>
      <w:r>
        <w:t>then</w:t>
      </w:r>
      <w:proofErr w:type="spellEnd"/>
      <w:r>
        <w:t xml:space="preserve"> </w:t>
      </w:r>
      <w:proofErr w:type="spellStart"/>
      <w:r>
        <w:t>there</w:t>
      </w:r>
      <w:proofErr w:type="spellEnd"/>
      <w:r>
        <w:t xml:space="preserve"> </w:t>
      </w:r>
      <w:proofErr w:type="spellStart"/>
      <w:r>
        <w:t>will</w:t>
      </w:r>
      <w:proofErr w:type="spellEnd"/>
      <w:r>
        <w:t xml:space="preserve"> </w:t>
      </w:r>
      <w:proofErr w:type="spellStart"/>
      <w:r>
        <w:t>also</w:t>
      </w:r>
      <w:proofErr w:type="spellEnd"/>
      <w:r>
        <w:t xml:space="preserve"> </w:t>
      </w:r>
      <w:proofErr w:type="spellStart"/>
      <w:r>
        <w:t>be</w:t>
      </w:r>
      <w:proofErr w:type="spellEnd"/>
      <w:r>
        <w:t xml:space="preserve"> </w:t>
      </w:r>
      <w:proofErr w:type="spellStart"/>
      <w:r>
        <w:t>increased</w:t>
      </w:r>
      <w:proofErr w:type="spellEnd"/>
      <w:r>
        <w:t xml:space="preserve"> policing and </w:t>
      </w:r>
      <w:proofErr w:type="spellStart"/>
      <w:r>
        <w:t>enforcement</w:t>
      </w:r>
      <w:proofErr w:type="spellEnd"/>
      <w:r>
        <w:t xml:space="preserve"> </w:t>
      </w:r>
      <w:proofErr w:type="spellStart"/>
      <w:r>
        <w:t>costs</w:t>
      </w:r>
      <w:proofErr w:type="spellEnd"/>
      <w:r>
        <w:t xml:space="preserve"> </w:t>
      </w:r>
      <w:proofErr w:type="spellStart"/>
      <w:r>
        <w:t>imposed</w:t>
      </w:r>
      <w:proofErr w:type="spellEnd"/>
      <w:r>
        <w:t xml:space="preserve"> </w:t>
      </w:r>
      <w:proofErr w:type="spellStart"/>
      <w:r>
        <w:t>on</w:t>
      </w:r>
      <w:proofErr w:type="spellEnd"/>
      <w:r>
        <w:t xml:space="preserve"> society. </w:t>
      </w:r>
      <w:proofErr w:type="spellStart"/>
      <w:r>
        <w:t>There</w:t>
      </w:r>
      <w:proofErr w:type="spellEnd"/>
      <w:r>
        <w:t xml:space="preserve"> are </w:t>
      </w:r>
      <w:proofErr w:type="spellStart"/>
      <w:r>
        <w:t>both</w:t>
      </w:r>
      <w:proofErr w:type="spellEnd"/>
      <w:r>
        <w:t xml:space="preserve"> </w:t>
      </w:r>
      <w:proofErr w:type="spellStart"/>
      <w:r>
        <w:t>intended</w:t>
      </w:r>
      <w:proofErr w:type="spellEnd"/>
      <w:r>
        <w:t xml:space="preserve"> and </w:t>
      </w:r>
      <w:proofErr w:type="spellStart"/>
      <w:r>
        <w:t>unintended</w:t>
      </w:r>
      <w:proofErr w:type="spellEnd"/>
      <w:r>
        <w:t xml:space="preserve"> </w:t>
      </w:r>
      <w:proofErr w:type="spellStart"/>
      <w:r>
        <w:t>consequences</w:t>
      </w:r>
      <w:proofErr w:type="spellEnd"/>
      <w:r>
        <w:t xml:space="preserve"> of </w:t>
      </w:r>
      <w:proofErr w:type="spellStart"/>
      <w:r>
        <w:t>making</w:t>
      </w:r>
      <w:proofErr w:type="spellEnd"/>
      <w:r>
        <w:t xml:space="preserve"> </w:t>
      </w:r>
      <w:proofErr w:type="spellStart"/>
      <w:r>
        <w:t>intentional</w:t>
      </w:r>
      <w:proofErr w:type="spellEnd"/>
      <w:r>
        <w:t xml:space="preserve"> </w:t>
      </w:r>
      <w:proofErr w:type="spellStart"/>
      <w:r>
        <w:t>changes</w:t>
      </w:r>
      <w:proofErr w:type="spellEnd"/>
      <w:r>
        <w:t xml:space="preserve"> to complex </w:t>
      </w:r>
      <w:proofErr w:type="spellStart"/>
      <w:r>
        <w:t>systems</w:t>
      </w:r>
      <w:proofErr w:type="spellEnd"/>
      <w:r>
        <w:t xml:space="preserve">.  </w:t>
      </w:r>
      <w:proofErr w:type="spellStart"/>
      <w:r>
        <w:t>Although</w:t>
      </w:r>
      <w:proofErr w:type="spellEnd"/>
      <w:r>
        <w:t xml:space="preserve"> the issue </w:t>
      </w:r>
      <w:proofErr w:type="spellStart"/>
      <w:r>
        <w:t>might</w:t>
      </w:r>
      <w:proofErr w:type="spellEnd"/>
      <w:r>
        <w:t xml:space="preserve"> </w:t>
      </w:r>
      <w:proofErr w:type="spellStart"/>
      <w:r>
        <w:t>seem</w:t>
      </w:r>
      <w:proofErr w:type="spellEnd"/>
      <w:r>
        <w:t xml:space="preserve"> to </w:t>
      </w:r>
      <w:proofErr w:type="spellStart"/>
      <w:r>
        <w:t>be</w:t>
      </w:r>
      <w:proofErr w:type="spellEnd"/>
      <w:r>
        <w:t xml:space="preserve"> </w:t>
      </w:r>
      <w:proofErr w:type="spellStart"/>
      <w:r>
        <w:t>one</w:t>
      </w:r>
      <w:proofErr w:type="spellEnd"/>
      <w:r>
        <w:t xml:space="preserve"> of </w:t>
      </w:r>
      <w:proofErr w:type="spellStart"/>
      <w:r>
        <w:t>ethics</w:t>
      </w:r>
      <w:proofErr w:type="spellEnd"/>
      <w:r>
        <w:t xml:space="preserve"> and </w:t>
      </w:r>
      <w:proofErr w:type="spellStart"/>
      <w:r>
        <w:t>social</w:t>
      </w:r>
      <w:proofErr w:type="spellEnd"/>
      <w:r>
        <w:t xml:space="preserve"> </w:t>
      </w:r>
      <w:proofErr w:type="spellStart"/>
      <w:r>
        <w:t>values</w:t>
      </w:r>
      <w:proofErr w:type="spellEnd"/>
      <w:r>
        <w:t xml:space="preserve">, </w:t>
      </w:r>
      <w:proofErr w:type="spellStart"/>
      <w:r>
        <w:t>there</w:t>
      </w:r>
      <w:proofErr w:type="spellEnd"/>
      <w:r>
        <w:t xml:space="preserve"> </w:t>
      </w:r>
      <w:proofErr w:type="spellStart"/>
      <w:r>
        <w:t>will</w:t>
      </w:r>
      <w:proofErr w:type="spellEnd"/>
      <w:r>
        <w:t xml:space="preserve"> </w:t>
      </w:r>
      <w:proofErr w:type="spellStart"/>
      <w:r>
        <w:t>be</w:t>
      </w:r>
      <w:proofErr w:type="spellEnd"/>
      <w:r>
        <w:t xml:space="preserve"> </w:t>
      </w:r>
      <w:proofErr w:type="spellStart"/>
      <w:r>
        <w:t>economic</w:t>
      </w:r>
      <w:proofErr w:type="spellEnd"/>
      <w:r>
        <w:t xml:space="preserve"> </w:t>
      </w:r>
      <w:proofErr w:type="spellStart"/>
      <w:r>
        <w:t>consequences</w:t>
      </w:r>
      <w:proofErr w:type="spellEnd"/>
      <w:r>
        <w:t xml:space="preserve"> – </w:t>
      </w:r>
      <w:proofErr w:type="spellStart"/>
      <w:r>
        <w:t>there</w:t>
      </w:r>
      <w:proofErr w:type="spellEnd"/>
      <w:r>
        <w:t xml:space="preserve"> is </w:t>
      </w:r>
      <w:proofErr w:type="spellStart"/>
      <w:r>
        <w:t>no</w:t>
      </w:r>
      <w:proofErr w:type="spellEnd"/>
      <w:r>
        <w:t xml:space="preserve"> </w:t>
      </w:r>
      <w:proofErr w:type="spellStart"/>
      <w:r>
        <w:t>such</w:t>
      </w:r>
      <w:proofErr w:type="spellEnd"/>
      <w:r>
        <w:t xml:space="preserve"> </w:t>
      </w:r>
      <w:proofErr w:type="spellStart"/>
      <w:r>
        <w:t>thing</w:t>
      </w:r>
      <w:proofErr w:type="spellEnd"/>
      <w:r>
        <w:t xml:space="preserve"> as a free lunch.</w:t>
      </w:r>
    </w:p>
  </w:footnote>
  <w:footnote w:id="6">
    <w:p w:rsidR="00603C66" w:rsidRDefault="00603C66" w:rsidP="006632C7">
      <w:pPr>
        <w:pStyle w:val="FootnoteText"/>
        <w:ind w:left="567" w:hanging="567"/>
      </w:pPr>
      <w:r>
        <w:rPr>
          <w:rStyle w:val="FootnoteReference"/>
        </w:rPr>
        <w:footnoteRef/>
      </w:r>
      <w:r>
        <w:t xml:space="preserve"> </w:t>
      </w:r>
      <w:r>
        <w:tab/>
      </w:r>
      <w:proofErr w:type="spellStart"/>
      <w:r>
        <w:t>Source</w:t>
      </w:r>
      <w:proofErr w:type="spellEnd"/>
      <w:r>
        <w:t xml:space="preserve">:  Centre </w:t>
      </w:r>
      <w:proofErr w:type="spellStart"/>
      <w:r>
        <w:t>for</w:t>
      </w:r>
      <w:proofErr w:type="spellEnd"/>
      <w:r>
        <w:t xml:space="preserve"> </w:t>
      </w:r>
      <w:proofErr w:type="spellStart"/>
      <w:r>
        <w:t>Value</w:t>
      </w:r>
      <w:proofErr w:type="spellEnd"/>
      <w:r>
        <w:t xml:space="preserve"> </w:t>
      </w:r>
      <w:proofErr w:type="spellStart"/>
      <w:r>
        <w:t>Chain</w:t>
      </w:r>
      <w:proofErr w:type="spellEnd"/>
      <w:r>
        <w:t xml:space="preserve"> Research, Kent </w:t>
      </w:r>
      <w:proofErr w:type="spellStart"/>
      <w:r>
        <w:t>University</w:t>
      </w:r>
      <w:proofErr w:type="spellEnd"/>
      <w:r>
        <w:t xml:space="preserve"> Business School.</w:t>
      </w:r>
    </w:p>
  </w:footnote>
  <w:footnote w:id="7">
    <w:p w:rsidR="00603C66" w:rsidRPr="00B16C42" w:rsidRDefault="00603C66" w:rsidP="00C469A0">
      <w:pPr>
        <w:pStyle w:val="FootnoteText"/>
        <w:spacing w:after="0"/>
        <w:ind w:left="567" w:hanging="567"/>
        <w:jc w:val="both"/>
      </w:pPr>
      <w:r>
        <w:rPr>
          <w:rStyle w:val="FootnoteReference"/>
        </w:rPr>
        <w:footnoteRef/>
      </w:r>
      <w:r>
        <w:t xml:space="preserve"> </w:t>
      </w:r>
      <w:r>
        <w:tab/>
      </w:r>
      <w:r>
        <w:rPr>
          <w:rFonts w:cs="Gill Sans"/>
          <w:iCs/>
        </w:rPr>
        <w:t xml:space="preserve">Of </w:t>
      </w:r>
      <w:proofErr w:type="spellStart"/>
      <w:r>
        <w:rPr>
          <w:rFonts w:cs="Gill Sans"/>
          <w:iCs/>
        </w:rPr>
        <w:t>course</w:t>
      </w:r>
      <w:proofErr w:type="spellEnd"/>
      <w:r>
        <w:rPr>
          <w:rFonts w:cs="Gill Sans"/>
          <w:iCs/>
        </w:rPr>
        <w:t xml:space="preserve">, </w:t>
      </w:r>
      <w:proofErr w:type="spellStart"/>
      <w:r>
        <w:rPr>
          <w:rFonts w:cs="Gill Sans"/>
          <w:iCs/>
        </w:rPr>
        <w:t>some</w:t>
      </w:r>
      <w:proofErr w:type="spellEnd"/>
      <w:r>
        <w:rPr>
          <w:rFonts w:cs="Gill Sans"/>
          <w:iCs/>
        </w:rPr>
        <w:t xml:space="preserve"> </w:t>
      </w:r>
      <w:proofErr w:type="spellStart"/>
      <w:r>
        <w:rPr>
          <w:rFonts w:cs="Gill Sans"/>
          <w:iCs/>
        </w:rPr>
        <w:t>may</w:t>
      </w:r>
      <w:proofErr w:type="spellEnd"/>
      <w:r>
        <w:rPr>
          <w:rFonts w:cs="Gill Sans"/>
          <w:iCs/>
        </w:rPr>
        <w:t xml:space="preserve"> </w:t>
      </w:r>
      <w:proofErr w:type="spellStart"/>
      <w:r>
        <w:rPr>
          <w:rFonts w:cs="Gill Sans"/>
          <w:iCs/>
        </w:rPr>
        <w:t>argue</w:t>
      </w:r>
      <w:proofErr w:type="spellEnd"/>
      <w:r>
        <w:rPr>
          <w:rFonts w:cs="Gill Sans"/>
          <w:iCs/>
        </w:rPr>
        <w:t xml:space="preserve"> </w:t>
      </w:r>
      <w:proofErr w:type="spellStart"/>
      <w:r>
        <w:rPr>
          <w:rFonts w:cs="Gill Sans"/>
          <w:iCs/>
        </w:rPr>
        <w:t>that</w:t>
      </w:r>
      <w:proofErr w:type="spellEnd"/>
      <w:r>
        <w:rPr>
          <w:rFonts w:cs="Gill Sans"/>
          <w:iCs/>
        </w:rPr>
        <w:t xml:space="preserve"> the </w:t>
      </w:r>
      <w:proofErr w:type="spellStart"/>
      <w:r>
        <w:rPr>
          <w:rFonts w:cs="Gill Sans"/>
          <w:iCs/>
        </w:rPr>
        <w:t>market</w:t>
      </w:r>
      <w:proofErr w:type="spellEnd"/>
      <w:r>
        <w:rPr>
          <w:rFonts w:cs="Gill Sans"/>
          <w:iCs/>
        </w:rPr>
        <w:t xml:space="preserve"> </w:t>
      </w:r>
      <w:proofErr w:type="spellStart"/>
      <w:r>
        <w:rPr>
          <w:rFonts w:cs="Gill Sans"/>
          <w:iCs/>
        </w:rPr>
        <w:t>counts</w:t>
      </w:r>
      <w:proofErr w:type="spellEnd"/>
      <w:r>
        <w:rPr>
          <w:rFonts w:cs="Gill Sans"/>
          <w:iCs/>
        </w:rPr>
        <w:t xml:space="preserve"> </w:t>
      </w:r>
      <w:proofErr w:type="spellStart"/>
      <w:r>
        <w:rPr>
          <w:rFonts w:cs="Gill Sans"/>
          <w:iCs/>
        </w:rPr>
        <w:t>euros</w:t>
      </w:r>
      <w:proofErr w:type="spellEnd"/>
      <w:r>
        <w:rPr>
          <w:rFonts w:cs="Gill Sans"/>
          <w:iCs/>
        </w:rPr>
        <w:t xml:space="preserve"> (</w:t>
      </w:r>
      <w:proofErr w:type="spellStart"/>
      <w:r>
        <w:rPr>
          <w:rFonts w:cs="Gill Sans"/>
          <w:iCs/>
        </w:rPr>
        <w:t>or</w:t>
      </w:r>
      <w:proofErr w:type="spellEnd"/>
      <w:r>
        <w:rPr>
          <w:rFonts w:cs="Gill Sans"/>
          <w:iCs/>
        </w:rPr>
        <w:t xml:space="preserve"> dollars) </w:t>
      </w:r>
      <w:proofErr w:type="spellStart"/>
      <w:r>
        <w:rPr>
          <w:rFonts w:cs="Gill Sans"/>
          <w:iCs/>
        </w:rPr>
        <w:t>rather</w:t>
      </w:r>
      <w:proofErr w:type="spellEnd"/>
      <w:r>
        <w:rPr>
          <w:rFonts w:cs="Gill Sans"/>
          <w:iCs/>
        </w:rPr>
        <w:t xml:space="preserve"> </w:t>
      </w:r>
      <w:proofErr w:type="spellStart"/>
      <w:r>
        <w:rPr>
          <w:rFonts w:cs="Gill Sans"/>
          <w:iCs/>
        </w:rPr>
        <w:t>than</w:t>
      </w:r>
      <w:proofErr w:type="spellEnd"/>
      <w:r>
        <w:rPr>
          <w:rFonts w:cs="Gill Sans"/>
          <w:iCs/>
        </w:rPr>
        <w:t xml:space="preserve"> </w:t>
      </w:r>
      <w:proofErr w:type="spellStart"/>
      <w:r>
        <w:rPr>
          <w:rFonts w:cs="Gill Sans"/>
          <w:iCs/>
        </w:rPr>
        <w:t>votes</w:t>
      </w:r>
      <w:proofErr w:type="spellEnd"/>
      <w:r>
        <w:rPr>
          <w:rFonts w:cs="Gill Sans"/>
          <w:iCs/>
        </w:rPr>
        <w:t xml:space="preserve">, </w:t>
      </w:r>
      <w:proofErr w:type="spellStart"/>
      <w:r>
        <w:rPr>
          <w:rFonts w:cs="Gill Sans"/>
          <w:iCs/>
        </w:rPr>
        <w:t>so</w:t>
      </w:r>
      <w:proofErr w:type="spellEnd"/>
      <w:r>
        <w:rPr>
          <w:rFonts w:cs="Gill Sans"/>
          <w:iCs/>
        </w:rPr>
        <w:t xml:space="preserve"> </w:t>
      </w:r>
      <w:proofErr w:type="spellStart"/>
      <w:r>
        <w:rPr>
          <w:rFonts w:cs="Gill Sans"/>
          <w:iCs/>
        </w:rPr>
        <w:t>cannot</w:t>
      </w:r>
      <w:proofErr w:type="spellEnd"/>
      <w:r>
        <w:rPr>
          <w:rFonts w:cs="Gill Sans"/>
          <w:iCs/>
        </w:rPr>
        <w:t xml:space="preserve"> </w:t>
      </w:r>
      <w:proofErr w:type="spellStart"/>
      <w:r>
        <w:rPr>
          <w:rFonts w:cs="Gill Sans"/>
          <w:iCs/>
        </w:rPr>
        <w:t>measure</w:t>
      </w:r>
      <w:proofErr w:type="spellEnd"/>
      <w:r>
        <w:rPr>
          <w:rFonts w:cs="Gill Sans"/>
          <w:iCs/>
        </w:rPr>
        <w:t xml:space="preserve"> </w:t>
      </w:r>
      <w:proofErr w:type="spellStart"/>
      <w:r>
        <w:rPr>
          <w:rFonts w:cs="Gill Sans"/>
          <w:iCs/>
        </w:rPr>
        <w:t>ethical</w:t>
      </w:r>
      <w:proofErr w:type="spellEnd"/>
      <w:r>
        <w:rPr>
          <w:rFonts w:cs="Gill Sans"/>
          <w:iCs/>
        </w:rPr>
        <w:t xml:space="preserve"> issues </w:t>
      </w:r>
      <w:proofErr w:type="spellStart"/>
      <w:r>
        <w:rPr>
          <w:rFonts w:cs="Gill Sans"/>
          <w:iCs/>
        </w:rPr>
        <w:t>properly</w:t>
      </w:r>
      <w:proofErr w:type="spellEnd"/>
      <w:r>
        <w:rPr>
          <w:rFonts w:cs="Gill Sans"/>
          <w:iCs/>
        </w:rPr>
        <w:t xml:space="preserve">, and </w:t>
      </w:r>
      <w:proofErr w:type="spellStart"/>
      <w:r>
        <w:rPr>
          <w:rFonts w:cs="Gill Sans"/>
          <w:iCs/>
        </w:rPr>
        <w:t>fail</w:t>
      </w:r>
      <w:proofErr w:type="spellEnd"/>
      <w:r>
        <w:rPr>
          <w:rFonts w:cs="Gill Sans"/>
          <w:iCs/>
        </w:rPr>
        <w:t xml:space="preserve"> in </w:t>
      </w:r>
      <w:proofErr w:type="spellStart"/>
      <w:r>
        <w:rPr>
          <w:rFonts w:cs="Gill Sans"/>
          <w:iCs/>
        </w:rPr>
        <w:t>that</w:t>
      </w:r>
      <w:proofErr w:type="spellEnd"/>
      <w:r>
        <w:rPr>
          <w:rFonts w:cs="Gill Sans"/>
          <w:iCs/>
        </w:rPr>
        <w:t xml:space="preserve"> </w:t>
      </w:r>
      <w:proofErr w:type="spellStart"/>
      <w:r>
        <w:rPr>
          <w:rFonts w:cs="Gill Sans"/>
          <w:iCs/>
        </w:rPr>
        <w:t>sense</w:t>
      </w:r>
      <w:proofErr w:type="spellEnd"/>
      <w:r>
        <w:rPr>
          <w:rFonts w:cs="Gill Sans"/>
          <w:iCs/>
        </w:rPr>
        <w:t xml:space="preserve">. </w:t>
      </w:r>
      <w:proofErr w:type="spellStart"/>
      <w:r>
        <w:rPr>
          <w:rFonts w:cs="Gill Sans"/>
          <w:iCs/>
        </w:rPr>
        <w:t>However</w:t>
      </w:r>
      <w:proofErr w:type="spellEnd"/>
      <w:r>
        <w:rPr>
          <w:rFonts w:cs="Gill Sans"/>
          <w:iCs/>
        </w:rPr>
        <w:t xml:space="preserve">, </w:t>
      </w:r>
      <w:proofErr w:type="spellStart"/>
      <w:r>
        <w:rPr>
          <w:rFonts w:cs="Gill Sans"/>
          <w:iCs/>
        </w:rPr>
        <w:t>this</w:t>
      </w:r>
      <w:proofErr w:type="spellEnd"/>
      <w:r>
        <w:rPr>
          <w:rFonts w:cs="Gill Sans"/>
          <w:iCs/>
        </w:rPr>
        <w:t xml:space="preserve"> </w:t>
      </w:r>
      <w:proofErr w:type="spellStart"/>
      <w:r>
        <w:rPr>
          <w:rFonts w:cs="Gill Sans"/>
          <w:iCs/>
        </w:rPr>
        <w:t>line</w:t>
      </w:r>
      <w:proofErr w:type="spellEnd"/>
      <w:r>
        <w:rPr>
          <w:rFonts w:cs="Gill Sans"/>
          <w:iCs/>
        </w:rPr>
        <w:t xml:space="preserve"> of argument </w:t>
      </w:r>
      <w:proofErr w:type="spellStart"/>
      <w:r>
        <w:rPr>
          <w:rFonts w:cs="Gill Sans"/>
          <w:iCs/>
        </w:rPr>
        <w:t>necessarily</w:t>
      </w:r>
      <w:proofErr w:type="spellEnd"/>
      <w:r>
        <w:rPr>
          <w:rFonts w:cs="Gill Sans"/>
          <w:iCs/>
        </w:rPr>
        <w:t xml:space="preserve"> </w:t>
      </w:r>
      <w:proofErr w:type="spellStart"/>
      <w:r>
        <w:rPr>
          <w:rFonts w:cs="Gill Sans"/>
          <w:iCs/>
        </w:rPr>
        <w:t>leads</w:t>
      </w:r>
      <w:proofErr w:type="spellEnd"/>
      <w:r>
        <w:rPr>
          <w:rFonts w:cs="Gill Sans"/>
          <w:iCs/>
        </w:rPr>
        <w:t xml:space="preserve"> back to the </w:t>
      </w:r>
      <w:proofErr w:type="spellStart"/>
      <w:r>
        <w:rPr>
          <w:rFonts w:cs="Gill Sans"/>
          <w:iCs/>
        </w:rPr>
        <w:t>conclusion</w:t>
      </w:r>
      <w:proofErr w:type="spellEnd"/>
      <w:r>
        <w:rPr>
          <w:rFonts w:cs="Gill Sans"/>
          <w:iCs/>
        </w:rPr>
        <w:t xml:space="preserve"> </w:t>
      </w:r>
      <w:proofErr w:type="spellStart"/>
      <w:r>
        <w:rPr>
          <w:rFonts w:cs="Gill Sans"/>
          <w:iCs/>
        </w:rPr>
        <w:t>that</w:t>
      </w:r>
      <w:proofErr w:type="spellEnd"/>
      <w:r>
        <w:rPr>
          <w:rFonts w:cs="Gill Sans"/>
          <w:iCs/>
        </w:rPr>
        <w:t xml:space="preserve"> </w:t>
      </w:r>
      <w:proofErr w:type="spellStart"/>
      <w:r>
        <w:rPr>
          <w:rFonts w:cs="Gill Sans"/>
          <w:iCs/>
        </w:rPr>
        <w:t>regulation</w:t>
      </w:r>
      <w:proofErr w:type="spellEnd"/>
      <w:r>
        <w:rPr>
          <w:rFonts w:cs="Gill Sans"/>
          <w:iCs/>
        </w:rPr>
        <w:t xml:space="preserve"> is the </w:t>
      </w:r>
      <w:proofErr w:type="spellStart"/>
      <w:r>
        <w:rPr>
          <w:rFonts w:cs="Gill Sans"/>
          <w:iCs/>
        </w:rPr>
        <w:t>only</w:t>
      </w:r>
      <w:proofErr w:type="spellEnd"/>
      <w:r>
        <w:rPr>
          <w:rFonts w:cs="Gill Sans"/>
          <w:iCs/>
        </w:rPr>
        <w:t xml:space="preserve"> </w:t>
      </w:r>
      <w:proofErr w:type="spellStart"/>
      <w:r>
        <w:rPr>
          <w:rFonts w:cs="Gill Sans"/>
          <w:iCs/>
        </w:rPr>
        <w:t>way</w:t>
      </w:r>
      <w:proofErr w:type="spellEnd"/>
      <w:r>
        <w:rPr>
          <w:rFonts w:cs="Gill Sans"/>
          <w:iCs/>
        </w:rPr>
        <w:t xml:space="preserve"> of </w:t>
      </w:r>
      <w:proofErr w:type="spellStart"/>
      <w:r>
        <w:rPr>
          <w:rFonts w:cs="Gill Sans"/>
          <w:iCs/>
        </w:rPr>
        <w:t>maintaining</w:t>
      </w:r>
      <w:proofErr w:type="spellEnd"/>
      <w:r>
        <w:rPr>
          <w:rFonts w:cs="Gill Sans"/>
          <w:iCs/>
        </w:rPr>
        <w:t xml:space="preserve"> and </w:t>
      </w:r>
      <w:proofErr w:type="spellStart"/>
      <w:r>
        <w:rPr>
          <w:rFonts w:cs="Gill Sans"/>
          <w:iCs/>
        </w:rPr>
        <w:t>improving</w:t>
      </w:r>
      <w:proofErr w:type="spellEnd"/>
      <w:r>
        <w:rPr>
          <w:rFonts w:cs="Gill Sans"/>
          <w:iCs/>
        </w:rPr>
        <w:t xml:space="preserve"> </w:t>
      </w:r>
      <w:proofErr w:type="spellStart"/>
      <w:r>
        <w:rPr>
          <w:rFonts w:cs="Gill Sans"/>
          <w:iCs/>
        </w:rPr>
        <w:t>animal</w:t>
      </w:r>
      <w:proofErr w:type="spellEnd"/>
      <w:r>
        <w:rPr>
          <w:rFonts w:cs="Gill Sans"/>
          <w:iCs/>
        </w:rPr>
        <w:t xml:space="preserve"> welfare, </w:t>
      </w:r>
      <w:proofErr w:type="spellStart"/>
      <w:r>
        <w:rPr>
          <w:rFonts w:cs="Gill Sans"/>
          <w:iCs/>
        </w:rPr>
        <w:t>which</w:t>
      </w:r>
      <w:proofErr w:type="spellEnd"/>
      <w:r>
        <w:rPr>
          <w:rFonts w:cs="Gill Sans"/>
          <w:iCs/>
        </w:rPr>
        <w:t xml:space="preserve"> has to </w:t>
      </w:r>
      <w:proofErr w:type="spellStart"/>
      <w:r>
        <w:rPr>
          <w:rFonts w:cs="Gill Sans"/>
          <w:iCs/>
        </w:rPr>
        <w:t>solve</w:t>
      </w:r>
      <w:proofErr w:type="spellEnd"/>
      <w:r>
        <w:rPr>
          <w:rFonts w:cs="Gill Sans"/>
          <w:iCs/>
        </w:rPr>
        <w:t xml:space="preserve"> the </w:t>
      </w:r>
      <w:proofErr w:type="spellStart"/>
      <w:r>
        <w:rPr>
          <w:rFonts w:cs="Gill Sans"/>
          <w:iCs/>
        </w:rPr>
        <w:t>serious</w:t>
      </w:r>
      <w:proofErr w:type="spellEnd"/>
      <w:r>
        <w:rPr>
          <w:rFonts w:cs="Gill Sans"/>
          <w:iCs/>
        </w:rPr>
        <w:t xml:space="preserve"> </w:t>
      </w:r>
      <w:proofErr w:type="spellStart"/>
      <w:r>
        <w:rPr>
          <w:rFonts w:cs="Gill Sans"/>
          <w:iCs/>
        </w:rPr>
        <w:t>problem</w:t>
      </w:r>
      <w:proofErr w:type="spellEnd"/>
      <w:r>
        <w:rPr>
          <w:rFonts w:cs="Gill Sans"/>
          <w:iCs/>
        </w:rPr>
        <w:t xml:space="preserve"> of </w:t>
      </w:r>
      <w:proofErr w:type="spellStart"/>
      <w:r>
        <w:rPr>
          <w:rFonts w:cs="Gill Sans"/>
          <w:iCs/>
        </w:rPr>
        <w:t>how</w:t>
      </w:r>
      <w:proofErr w:type="spellEnd"/>
      <w:r>
        <w:rPr>
          <w:rFonts w:cs="Gill Sans"/>
          <w:iCs/>
        </w:rPr>
        <w:t xml:space="preserve"> to </w:t>
      </w:r>
      <w:proofErr w:type="spellStart"/>
      <w:r>
        <w:rPr>
          <w:rFonts w:cs="Gill Sans"/>
          <w:iCs/>
        </w:rPr>
        <w:t>make</w:t>
      </w:r>
      <w:proofErr w:type="spellEnd"/>
      <w:r>
        <w:rPr>
          <w:rFonts w:cs="Gill Sans"/>
          <w:iCs/>
        </w:rPr>
        <w:t xml:space="preserve"> </w:t>
      </w:r>
      <w:proofErr w:type="spellStart"/>
      <w:r>
        <w:rPr>
          <w:rFonts w:cs="Gill Sans"/>
          <w:iCs/>
        </w:rPr>
        <w:t>social</w:t>
      </w:r>
      <w:proofErr w:type="spellEnd"/>
      <w:r>
        <w:rPr>
          <w:rFonts w:cs="Gill Sans"/>
          <w:iCs/>
        </w:rPr>
        <w:t xml:space="preserve"> </w:t>
      </w:r>
      <w:proofErr w:type="spellStart"/>
      <w:r>
        <w:rPr>
          <w:rFonts w:cs="Gill Sans"/>
          <w:iCs/>
        </w:rPr>
        <w:t>decisions</w:t>
      </w:r>
      <w:proofErr w:type="spellEnd"/>
      <w:r>
        <w:rPr>
          <w:rFonts w:cs="Gill Sans"/>
          <w:iCs/>
        </w:rPr>
        <w:t xml:space="preserve"> </w:t>
      </w:r>
      <w:proofErr w:type="spellStart"/>
      <w:r>
        <w:rPr>
          <w:rFonts w:cs="Gill Sans"/>
          <w:iCs/>
        </w:rPr>
        <w:t>on</w:t>
      </w:r>
      <w:proofErr w:type="spellEnd"/>
      <w:r>
        <w:rPr>
          <w:rFonts w:cs="Gill Sans"/>
          <w:iCs/>
        </w:rPr>
        <w:t xml:space="preserve"> the </w:t>
      </w:r>
      <w:proofErr w:type="spellStart"/>
      <w:r>
        <w:rPr>
          <w:rFonts w:cs="Gill Sans"/>
          <w:iCs/>
        </w:rPr>
        <w:t>appropriate</w:t>
      </w:r>
      <w:proofErr w:type="spellEnd"/>
      <w:r>
        <w:rPr>
          <w:rFonts w:cs="Gill Sans"/>
          <w:iCs/>
        </w:rPr>
        <w:t xml:space="preserve"> </w:t>
      </w:r>
      <w:proofErr w:type="spellStart"/>
      <w:r>
        <w:rPr>
          <w:rFonts w:cs="Gill Sans"/>
          <w:iCs/>
        </w:rPr>
        <w:t>levels</w:t>
      </w:r>
      <w:proofErr w:type="spellEnd"/>
      <w:r>
        <w:rPr>
          <w:rFonts w:cs="Gill Sans"/>
          <w:iCs/>
        </w:rPr>
        <w:t xml:space="preserve"> of </w:t>
      </w:r>
      <w:proofErr w:type="spellStart"/>
      <w:r>
        <w:rPr>
          <w:rFonts w:cs="Gill Sans"/>
          <w:iCs/>
        </w:rPr>
        <w:t>animal</w:t>
      </w:r>
      <w:proofErr w:type="spellEnd"/>
      <w:r>
        <w:rPr>
          <w:rFonts w:cs="Gill Sans"/>
          <w:iCs/>
        </w:rPr>
        <w:t xml:space="preserve"> welfare in the face of </w:t>
      </w:r>
      <w:proofErr w:type="spellStart"/>
      <w:r>
        <w:rPr>
          <w:rFonts w:cs="Gill Sans"/>
          <w:iCs/>
        </w:rPr>
        <w:t>widely</w:t>
      </w:r>
      <w:proofErr w:type="spellEnd"/>
      <w:r>
        <w:rPr>
          <w:rFonts w:cs="Gill Sans"/>
          <w:iCs/>
        </w:rPr>
        <w:t xml:space="preserve"> </w:t>
      </w:r>
      <w:proofErr w:type="spellStart"/>
      <w:r>
        <w:rPr>
          <w:rFonts w:cs="Gill Sans"/>
          <w:iCs/>
        </w:rPr>
        <w:t>differing</w:t>
      </w:r>
      <w:proofErr w:type="spellEnd"/>
      <w:r>
        <w:rPr>
          <w:rFonts w:cs="Gill Sans"/>
          <w:iCs/>
        </w:rPr>
        <w:t xml:space="preserve"> and diverse views and </w:t>
      </w:r>
      <w:proofErr w:type="spellStart"/>
      <w:r>
        <w:rPr>
          <w:rFonts w:cs="Gill Sans"/>
          <w:iCs/>
        </w:rPr>
        <w:t>judgements</w:t>
      </w:r>
      <w:proofErr w:type="spellEnd"/>
      <w:r>
        <w:rPr>
          <w:rFonts w:cs="Gill Sans"/>
          <w:iCs/>
        </w:rPr>
        <w:t xml:space="preserve"> </w:t>
      </w:r>
      <w:proofErr w:type="spellStart"/>
      <w:r>
        <w:rPr>
          <w:rFonts w:cs="Gill Sans"/>
          <w:iCs/>
        </w:rPr>
        <w:t>about</w:t>
      </w:r>
      <w:proofErr w:type="spellEnd"/>
      <w:r>
        <w:rPr>
          <w:rFonts w:cs="Gill Sans"/>
          <w:iCs/>
        </w:rPr>
        <w:t xml:space="preserve"> the </w:t>
      </w:r>
      <w:proofErr w:type="spellStart"/>
      <w:r>
        <w:rPr>
          <w:rFonts w:cs="Gill Sans"/>
          <w:iCs/>
        </w:rPr>
        <w:t>appropriate</w:t>
      </w:r>
      <w:proofErr w:type="spellEnd"/>
      <w:r>
        <w:rPr>
          <w:rFonts w:cs="Gill Sans"/>
          <w:iCs/>
        </w:rPr>
        <w:t xml:space="preserve"> </w:t>
      </w:r>
      <w:proofErr w:type="spellStart"/>
      <w:r>
        <w:rPr>
          <w:rFonts w:cs="Gill Sans"/>
          <w:iCs/>
        </w:rPr>
        <w:t>levels</w:t>
      </w:r>
      <w:proofErr w:type="spellEnd"/>
      <w:r>
        <w:rPr>
          <w:rFonts w:cs="Gill Sans"/>
          <w:iCs/>
        </w:rPr>
        <w:t xml:space="preserve"> (as </w:t>
      </w:r>
      <w:proofErr w:type="spellStart"/>
      <w:r>
        <w:rPr>
          <w:rFonts w:cs="Gill Sans"/>
          <w:iCs/>
        </w:rPr>
        <w:t>noted</w:t>
      </w:r>
      <w:proofErr w:type="spellEnd"/>
      <w:r>
        <w:rPr>
          <w:rFonts w:cs="Gill Sans"/>
          <w:iCs/>
        </w:rPr>
        <w:t xml:space="preserve"> </w:t>
      </w:r>
      <w:proofErr w:type="spellStart"/>
      <w:r>
        <w:rPr>
          <w:rFonts w:cs="Gill Sans"/>
          <w:iCs/>
        </w:rPr>
        <w:t>above</w:t>
      </w:r>
      <w:proofErr w:type="spellEnd"/>
      <w:r>
        <w:rPr>
          <w:rFonts w:cs="Gill Sans"/>
          <w:iCs/>
        </w:rPr>
        <w:t xml:space="preserve">). The inherent </w:t>
      </w:r>
      <w:proofErr w:type="spellStart"/>
      <w:r>
        <w:rPr>
          <w:rFonts w:cs="Gill Sans"/>
          <w:i/>
          <w:iCs/>
        </w:rPr>
        <w:t>indefiniteness</w:t>
      </w:r>
      <w:proofErr w:type="spellEnd"/>
      <w:r>
        <w:rPr>
          <w:rFonts w:cs="Gill Sans"/>
          <w:iCs/>
        </w:rPr>
        <w:t xml:space="preserve"> </w:t>
      </w:r>
      <w:proofErr w:type="spellStart"/>
      <w:r>
        <w:rPr>
          <w:rFonts w:cs="Gill Sans"/>
          <w:iCs/>
        </w:rPr>
        <w:t>character</w:t>
      </w:r>
      <w:proofErr w:type="spellEnd"/>
      <w:r>
        <w:rPr>
          <w:rFonts w:cs="Gill Sans"/>
          <w:iCs/>
        </w:rPr>
        <w:t xml:space="preserve"> of ‘</w:t>
      </w:r>
      <w:proofErr w:type="spellStart"/>
      <w:r>
        <w:rPr>
          <w:rFonts w:cs="Gill Sans"/>
          <w:iCs/>
        </w:rPr>
        <w:t>social</w:t>
      </w:r>
      <w:proofErr w:type="spellEnd"/>
      <w:r>
        <w:rPr>
          <w:rFonts w:cs="Gill Sans"/>
          <w:iCs/>
        </w:rPr>
        <w:t xml:space="preserve">’ </w:t>
      </w:r>
      <w:proofErr w:type="spellStart"/>
      <w:r>
        <w:rPr>
          <w:rFonts w:cs="Gill Sans"/>
          <w:iCs/>
        </w:rPr>
        <w:t>judgements</w:t>
      </w:r>
      <w:proofErr w:type="spellEnd"/>
      <w:r>
        <w:rPr>
          <w:rFonts w:cs="Gill Sans"/>
          <w:iCs/>
        </w:rPr>
        <w:t xml:space="preserve"> </w:t>
      </w:r>
      <w:proofErr w:type="spellStart"/>
      <w:r>
        <w:rPr>
          <w:rFonts w:cs="Gill Sans"/>
          <w:iCs/>
        </w:rPr>
        <w:t>about</w:t>
      </w:r>
      <w:proofErr w:type="spellEnd"/>
      <w:r>
        <w:rPr>
          <w:rFonts w:cs="Gill Sans"/>
          <w:iCs/>
        </w:rPr>
        <w:t xml:space="preserve"> </w:t>
      </w:r>
      <w:proofErr w:type="spellStart"/>
      <w:r>
        <w:rPr>
          <w:rFonts w:cs="Gill Sans"/>
          <w:iCs/>
        </w:rPr>
        <w:t>appropriate</w:t>
      </w:r>
      <w:proofErr w:type="spellEnd"/>
      <w:r>
        <w:rPr>
          <w:rFonts w:cs="Gill Sans"/>
          <w:iCs/>
        </w:rPr>
        <w:t xml:space="preserve"> </w:t>
      </w:r>
      <w:proofErr w:type="spellStart"/>
      <w:r>
        <w:rPr>
          <w:rFonts w:cs="Gill Sans"/>
          <w:iCs/>
        </w:rPr>
        <w:t>levels</w:t>
      </w:r>
      <w:proofErr w:type="spellEnd"/>
      <w:r>
        <w:rPr>
          <w:rFonts w:cs="Gill Sans"/>
          <w:iCs/>
        </w:rPr>
        <w:t xml:space="preserve"> of </w:t>
      </w:r>
      <w:proofErr w:type="spellStart"/>
      <w:r>
        <w:rPr>
          <w:rFonts w:cs="Gill Sans"/>
          <w:iCs/>
        </w:rPr>
        <w:t>animal</w:t>
      </w:r>
      <w:proofErr w:type="spellEnd"/>
      <w:r>
        <w:rPr>
          <w:rFonts w:cs="Gill Sans"/>
          <w:iCs/>
        </w:rPr>
        <w:t xml:space="preserve"> welfare does </w:t>
      </w:r>
      <w:proofErr w:type="spellStart"/>
      <w:r>
        <w:rPr>
          <w:rFonts w:cs="Gill Sans"/>
          <w:iCs/>
        </w:rPr>
        <w:t>not</w:t>
      </w:r>
      <w:proofErr w:type="spellEnd"/>
      <w:r>
        <w:rPr>
          <w:rFonts w:cs="Gill Sans"/>
          <w:iCs/>
        </w:rPr>
        <w:t xml:space="preserve"> </w:t>
      </w:r>
      <w:proofErr w:type="spellStart"/>
      <w:r>
        <w:rPr>
          <w:rFonts w:cs="Gill Sans"/>
          <w:iCs/>
        </w:rPr>
        <w:t>disappear</w:t>
      </w:r>
      <w:proofErr w:type="spellEnd"/>
      <w:r>
        <w:rPr>
          <w:rFonts w:cs="Gill Sans"/>
          <w:iCs/>
        </w:rPr>
        <w:t xml:space="preserve"> </w:t>
      </w:r>
      <w:proofErr w:type="spellStart"/>
      <w:r>
        <w:rPr>
          <w:rFonts w:cs="Gill Sans"/>
          <w:iCs/>
        </w:rPr>
        <w:t>by</w:t>
      </w:r>
      <w:proofErr w:type="spellEnd"/>
      <w:r>
        <w:rPr>
          <w:rFonts w:cs="Gill Sans"/>
          <w:iCs/>
        </w:rPr>
        <w:t xml:space="preserve"> </w:t>
      </w:r>
      <w:proofErr w:type="spellStart"/>
      <w:r>
        <w:rPr>
          <w:rFonts w:cs="Gill Sans"/>
          <w:iCs/>
        </w:rPr>
        <w:t>asserting</w:t>
      </w:r>
      <w:proofErr w:type="spellEnd"/>
      <w:r>
        <w:rPr>
          <w:rFonts w:cs="Gill Sans"/>
          <w:iCs/>
        </w:rPr>
        <w:t xml:space="preserve"> </w:t>
      </w:r>
      <w:proofErr w:type="spellStart"/>
      <w:r>
        <w:rPr>
          <w:rFonts w:cs="Gill Sans"/>
          <w:iCs/>
        </w:rPr>
        <w:t>that</w:t>
      </w:r>
      <w:proofErr w:type="spellEnd"/>
      <w:r>
        <w:rPr>
          <w:rFonts w:cs="Gill Sans"/>
          <w:iCs/>
        </w:rPr>
        <w:t xml:space="preserve"> </w:t>
      </w:r>
      <w:proofErr w:type="spellStart"/>
      <w:r>
        <w:rPr>
          <w:rFonts w:cs="Gill Sans"/>
          <w:iCs/>
        </w:rPr>
        <w:t>such</w:t>
      </w:r>
      <w:proofErr w:type="spellEnd"/>
      <w:r>
        <w:rPr>
          <w:rFonts w:cs="Gill Sans"/>
          <w:iCs/>
        </w:rPr>
        <w:t xml:space="preserve"> </w:t>
      </w:r>
      <w:proofErr w:type="spellStart"/>
      <w:r>
        <w:rPr>
          <w:rFonts w:cs="Gill Sans"/>
          <w:iCs/>
        </w:rPr>
        <w:t>judgements</w:t>
      </w:r>
      <w:proofErr w:type="spellEnd"/>
      <w:r>
        <w:rPr>
          <w:rFonts w:cs="Gill Sans"/>
          <w:iCs/>
        </w:rPr>
        <w:t xml:space="preserve"> are </w:t>
      </w:r>
      <w:proofErr w:type="spellStart"/>
      <w:r>
        <w:rPr>
          <w:rFonts w:cs="Gill Sans"/>
          <w:iCs/>
        </w:rPr>
        <w:t>ethical</w:t>
      </w:r>
      <w:proofErr w:type="spellEnd"/>
      <w:r>
        <w:rPr>
          <w:rFonts w:cs="Gill Sans"/>
          <w:iCs/>
        </w:rPr>
        <w:t xml:space="preserve"> and </w:t>
      </w:r>
      <w:proofErr w:type="spellStart"/>
      <w:r>
        <w:rPr>
          <w:rFonts w:cs="Gill Sans"/>
          <w:iCs/>
        </w:rPr>
        <w:t>moral</w:t>
      </w:r>
      <w:proofErr w:type="spellEnd"/>
      <w:r>
        <w:rPr>
          <w:rFonts w:cs="Gill Sans"/>
          <w:iCs/>
        </w:rPr>
        <w:t xml:space="preserve">, </w:t>
      </w:r>
      <w:proofErr w:type="spellStart"/>
      <w:r>
        <w:rPr>
          <w:rFonts w:cs="Gill Sans"/>
          <w:iCs/>
        </w:rPr>
        <w:t>rather</w:t>
      </w:r>
      <w:proofErr w:type="spellEnd"/>
      <w:r>
        <w:rPr>
          <w:rFonts w:cs="Gill Sans"/>
          <w:iCs/>
        </w:rPr>
        <w:t xml:space="preserve"> </w:t>
      </w:r>
      <w:proofErr w:type="spellStart"/>
      <w:r>
        <w:rPr>
          <w:rFonts w:cs="Gill Sans"/>
          <w:iCs/>
        </w:rPr>
        <w:t>than</w:t>
      </w:r>
      <w:proofErr w:type="spellEnd"/>
      <w:r>
        <w:rPr>
          <w:rFonts w:cs="Gill Sans"/>
          <w:iCs/>
        </w:rPr>
        <w:t xml:space="preserve"> </w:t>
      </w:r>
      <w:proofErr w:type="spellStart"/>
      <w:r>
        <w:rPr>
          <w:rFonts w:cs="Gill Sans"/>
          <w:iCs/>
        </w:rPr>
        <w:t>economic</w:t>
      </w:r>
      <w:proofErr w:type="spellEnd"/>
      <w:r>
        <w:rPr>
          <w:rFonts w:cs="Gill Sans"/>
          <w:iCs/>
        </w:rPr>
        <w:t xml:space="preserve">. Nor do the </w:t>
      </w:r>
      <w:proofErr w:type="spellStart"/>
      <w:r>
        <w:rPr>
          <w:rFonts w:cs="Gill Sans"/>
          <w:iCs/>
        </w:rPr>
        <w:t>economic</w:t>
      </w:r>
      <w:proofErr w:type="spellEnd"/>
      <w:r>
        <w:rPr>
          <w:rFonts w:cs="Gill Sans"/>
          <w:iCs/>
        </w:rPr>
        <w:t xml:space="preserve"> </w:t>
      </w:r>
      <w:proofErr w:type="spellStart"/>
      <w:r>
        <w:rPr>
          <w:rFonts w:cs="Gill Sans"/>
          <w:iCs/>
        </w:rPr>
        <w:t>consequences</w:t>
      </w:r>
      <w:proofErr w:type="spellEnd"/>
      <w:r>
        <w:rPr>
          <w:rFonts w:cs="Gill Sans"/>
          <w:iCs/>
        </w:rPr>
        <w:t xml:space="preserve"> of </w:t>
      </w:r>
      <w:proofErr w:type="spellStart"/>
      <w:r>
        <w:rPr>
          <w:rFonts w:cs="Gill Sans"/>
          <w:iCs/>
        </w:rPr>
        <w:t>such</w:t>
      </w:r>
      <w:proofErr w:type="spellEnd"/>
      <w:r>
        <w:rPr>
          <w:rFonts w:cs="Gill Sans"/>
          <w:iCs/>
        </w:rPr>
        <w:t xml:space="preserve"> </w:t>
      </w:r>
      <w:proofErr w:type="spellStart"/>
      <w:r>
        <w:rPr>
          <w:rFonts w:cs="Gill Sans"/>
          <w:iCs/>
        </w:rPr>
        <w:t>judgements</w:t>
      </w:r>
      <w:proofErr w:type="spellEnd"/>
      <w:r>
        <w:rPr>
          <w:rFonts w:cs="Gill Sans"/>
          <w:iCs/>
        </w:rPr>
        <w:t xml:space="preserve"> and </w:t>
      </w:r>
      <w:proofErr w:type="spellStart"/>
      <w:r>
        <w:rPr>
          <w:rFonts w:cs="Gill Sans"/>
          <w:iCs/>
        </w:rPr>
        <w:t>associated</w:t>
      </w:r>
      <w:proofErr w:type="spellEnd"/>
      <w:r>
        <w:rPr>
          <w:rFonts w:cs="Gill Sans"/>
          <w:iCs/>
        </w:rPr>
        <w:t xml:space="preserve"> </w:t>
      </w:r>
      <w:proofErr w:type="spellStart"/>
      <w:r>
        <w:rPr>
          <w:rFonts w:cs="Gill Sans"/>
          <w:iCs/>
        </w:rPr>
        <w:t>decisions</w:t>
      </w:r>
      <w:proofErr w:type="spellEnd"/>
      <w:r>
        <w:rPr>
          <w:rFonts w:cs="Gill Sans"/>
          <w:iCs/>
        </w:rPr>
        <w:t xml:space="preserve"> </w:t>
      </w:r>
      <w:proofErr w:type="spellStart"/>
      <w:r>
        <w:rPr>
          <w:rFonts w:cs="Gill Sans"/>
          <w:iCs/>
        </w:rPr>
        <w:t>evaporate</w:t>
      </w:r>
      <w:proofErr w:type="spellEnd"/>
      <w:r>
        <w:rPr>
          <w:rFonts w:cs="Gill Sans"/>
          <w:iCs/>
        </w:rPr>
        <w:t xml:space="preserve"> </w:t>
      </w:r>
      <w:proofErr w:type="spellStart"/>
      <w:r>
        <w:rPr>
          <w:rFonts w:cs="Gill Sans"/>
          <w:iCs/>
        </w:rPr>
        <w:t>because</w:t>
      </w:r>
      <w:proofErr w:type="spellEnd"/>
      <w:r>
        <w:rPr>
          <w:rFonts w:cs="Gill Sans"/>
          <w:iCs/>
        </w:rPr>
        <w:t xml:space="preserve"> of </w:t>
      </w:r>
      <w:proofErr w:type="spellStart"/>
      <w:r>
        <w:rPr>
          <w:rFonts w:cs="Gill Sans"/>
          <w:iCs/>
        </w:rPr>
        <w:t>their</w:t>
      </w:r>
      <w:proofErr w:type="spellEnd"/>
      <w:r>
        <w:rPr>
          <w:rFonts w:cs="Gill Sans"/>
          <w:iCs/>
        </w:rPr>
        <w:t xml:space="preserve"> </w:t>
      </w:r>
      <w:proofErr w:type="spellStart"/>
      <w:r>
        <w:rPr>
          <w:rFonts w:cs="Gill Sans"/>
          <w:iCs/>
        </w:rPr>
        <w:t>ethical</w:t>
      </w:r>
      <w:proofErr w:type="spellEnd"/>
      <w:r>
        <w:rPr>
          <w:rFonts w:cs="Gill Sans"/>
          <w:iCs/>
        </w:rPr>
        <w:t xml:space="preserve"> and </w:t>
      </w:r>
      <w:proofErr w:type="spellStart"/>
      <w:r>
        <w:rPr>
          <w:rFonts w:cs="Gill Sans"/>
          <w:iCs/>
        </w:rPr>
        <w:t>moral</w:t>
      </w:r>
      <w:proofErr w:type="spellEnd"/>
      <w:r>
        <w:rPr>
          <w:rFonts w:cs="Gill Sans"/>
          <w:iCs/>
        </w:rPr>
        <w:t xml:space="preserve"> </w:t>
      </w:r>
      <w:proofErr w:type="spellStart"/>
      <w:r>
        <w:rPr>
          <w:rFonts w:cs="Gill Sans"/>
          <w:iCs/>
        </w:rPr>
        <w:t>character</w:t>
      </w:r>
      <w:proofErr w:type="spellEnd"/>
      <w:r>
        <w:rPr>
          <w:rFonts w:cs="Gill Sans"/>
          <w:iCs/>
        </w:rPr>
        <w:t>.</w:t>
      </w:r>
    </w:p>
  </w:footnote>
  <w:footnote w:id="8">
    <w:p w:rsidR="00603C66" w:rsidRDefault="00603C66" w:rsidP="00CF0D35">
      <w:pPr>
        <w:pStyle w:val="FootnoteText"/>
        <w:spacing w:after="0"/>
        <w:ind w:left="567" w:hanging="567"/>
      </w:pPr>
      <w:r>
        <w:rPr>
          <w:rStyle w:val="FootnoteReference"/>
        </w:rPr>
        <w:footnoteRef/>
      </w:r>
      <w:r>
        <w:t xml:space="preserve"> </w:t>
      </w:r>
      <w:r>
        <w:tab/>
      </w:r>
      <w:proofErr w:type="spellStart"/>
      <w:r>
        <w:t>See</w:t>
      </w:r>
      <w:proofErr w:type="spellEnd"/>
      <w:r>
        <w:t xml:space="preserve">, </w:t>
      </w:r>
      <w:proofErr w:type="spellStart"/>
      <w:r>
        <w:t>also</w:t>
      </w:r>
      <w:proofErr w:type="spellEnd"/>
      <w:r>
        <w:t xml:space="preserve">, </w:t>
      </w:r>
      <w:proofErr w:type="spellStart"/>
      <w:r>
        <w:t>Sirieix</w:t>
      </w:r>
      <w:proofErr w:type="spellEnd"/>
      <w:r>
        <w:t xml:space="preserve"> et .al, 2011,:3</w:t>
      </w:r>
      <w:r>
        <w:tab/>
      </w:r>
    </w:p>
  </w:footnote>
  <w:footnote w:id="9">
    <w:p w:rsidR="00603C66" w:rsidRDefault="00603C66">
      <w:pPr>
        <w:pStyle w:val="Default"/>
        <w:ind w:left="567" w:hanging="567"/>
        <w:jc w:val="both"/>
        <w:rPr>
          <w:rFonts w:ascii="Arial" w:hAnsi="Arial"/>
          <w:sz w:val="20"/>
        </w:rPr>
      </w:pPr>
      <w:r>
        <w:rPr>
          <w:rStyle w:val="FootnoteReference"/>
        </w:rPr>
        <w:footnoteRef/>
      </w:r>
      <w:r>
        <w:t xml:space="preserve"> </w:t>
      </w:r>
      <w:r>
        <w:tab/>
      </w:r>
      <w:r w:rsidRPr="00CF0D35">
        <w:rPr>
          <w:rFonts w:ascii="Arial" w:hAnsi="Arial"/>
          <w:sz w:val="20"/>
        </w:rPr>
        <w:t>Welfare Quality® was a research project funded by the European Commission and focused on integration of animal welfare in the food quality chain: from public concern to improved welfare and transparent quality. The project was aimed to accommodate societal concerns and market demands, to develop reliable on-farm monitoring systems, product information systems, and practical species-specific strat</w:t>
      </w:r>
      <w:r>
        <w:rPr>
          <w:rFonts w:ascii="Arial" w:hAnsi="Arial"/>
          <w:sz w:val="20"/>
        </w:rPr>
        <w:t>egies to improve animal welfare (</w:t>
      </w:r>
      <w:r w:rsidRPr="00CF0D35">
        <w:rPr>
          <w:rFonts w:ascii="Arial" w:hAnsi="Arial"/>
          <w:sz w:val="20"/>
          <w:szCs w:val="14"/>
        </w:rPr>
        <w:t>www.welfarequality.net</w:t>
      </w:r>
      <w:r>
        <w:rPr>
          <w:rFonts w:ascii="Arial" w:hAnsi="Arial"/>
          <w:sz w:val="20"/>
          <w:szCs w:val="14"/>
        </w:rPr>
        <w:t>)</w:t>
      </w:r>
    </w:p>
  </w:footnote>
  <w:footnote w:id="10">
    <w:p w:rsidR="00603C66" w:rsidRDefault="00603C66">
      <w:pPr>
        <w:pStyle w:val="FootnoteText"/>
        <w:spacing w:after="0"/>
        <w:ind w:left="567" w:hanging="567"/>
      </w:pPr>
      <w:r>
        <w:rPr>
          <w:rStyle w:val="FootnoteReference"/>
        </w:rPr>
        <w:footnoteRef/>
      </w:r>
      <w:r>
        <w:t xml:space="preserve"> </w:t>
      </w:r>
      <w:r>
        <w:tab/>
      </w:r>
      <w:r>
        <w:t xml:space="preserve">The FAWC </w:t>
      </w:r>
      <w:proofErr w:type="spellStart"/>
      <w:r>
        <w:t>closed</w:t>
      </w:r>
      <w:proofErr w:type="spellEnd"/>
      <w:r>
        <w:t xml:space="preserve"> down in </w:t>
      </w:r>
      <w:proofErr w:type="spellStart"/>
      <w:r>
        <w:t>March</w:t>
      </w:r>
      <w:proofErr w:type="spellEnd"/>
      <w:r>
        <w:t xml:space="preserve"> 2011, and has been </w:t>
      </w:r>
      <w:proofErr w:type="spellStart"/>
      <w:r>
        <w:t>re-constituted</w:t>
      </w:r>
      <w:proofErr w:type="spellEnd"/>
      <w:r>
        <w:t xml:space="preserve"> as </w:t>
      </w:r>
      <w:proofErr w:type="spellStart"/>
      <w:r>
        <w:t>an</w:t>
      </w:r>
      <w:proofErr w:type="spellEnd"/>
      <w:r>
        <w:t xml:space="preserve"> Expert </w:t>
      </w:r>
      <w:proofErr w:type="spellStart"/>
      <w:r>
        <w:t>Committee</w:t>
      </w:r>
      <w:proofErr w:type="spellEnd"/>
      <w:r>
        <w:t xml:space="preserve"> – the Farm </w:t>
      </w:r>
      <w:proofErr w:type="spellStart"/>
      <w:r>
        <w:t>Animal</w:t>
      </w:r>
      <w:proofErr w:type="spellEnd"/>
      <w:r>
        <w:t xml:space="preserve"> Welfare </w:t>
      </w:r>
      <w:proofErr w:type="spellStart"/>
      <w:r>
        <w:t>Committee</w:t>
      </w:r>
      <w:proofErr w:type="spellEnd"/>
      <w:r>
        <w:t xml:space="preserve"> - </w:t>
      </w:r>
      <w:proofErr w:type="spellStart"/>
      <w:r>
        <w:t>within</w:t>
      </w:r>
      <w:proofErr w:type="spellEnd"/>
      <w:r>
        <w:t xml:space="preserve"> </w:t>
      </w:r>
      <w:proofErr w:type="spellStart"/>
      <w:r>
        <w:t>Defra</w:t>
      </w:r>
      <w:proofErr w:type="spellEnd"/>
      <w:r>
        <w:t xml:space="preserve">, </w:t>
      </w:r>
      <w:proofErr w:type="spellStart"/>
      <w:r>
        <w:t>with</w:t>
      </w:r>
      <w:proofErr w:type="spellEnd"/>
      <w:r>
        <w:t xml:space="preserve"> </w:t>
      </w:r>
      <w:proofErr w:type="spellStart"/>
      <w:r>
        <w:t>responsibilties</w:t>
      </w:r>
      <w:proofErr w:type="spellEnd"/>
      <w:r>
        <w:t xml:space="preserve"> to </w:t>
      </w:r>
      <w:proofErr w:type="spellStart"/>
      <w:r>
        <w:t>advise</w:t>
      </w:r>
      <w:proofErr w:type="spellEnd"/>
      <w:r>
        <w:t xml:space="preserve"> Ministers, </w:t>
      </w:r>
      <w:proofErr w:type="spellStart"/>
      <w:r>
        <w:t>including</w:t>
      </w:r>
      <w:proofErr w:type="spellEnd"/>
      <w:r>
        <w:t xml:space="preserve"> </w:t>
      </w:r>
      <w:proofErr w:type="spellStart"/>
      <w:r>
        <w:t>those</w:t>
      </w:r>
      <w:proofErr w:type="spellEnd"/>
      <w:r>
        <w:t xml:space="preserve"> in the </w:t>
      </w:r>
      <w:proofErr w:type="spellStart"/>
      <w:r>
        <w:t>devolved</w:t>
      </w:r>
      <w:proofErr w:type="spellEnd"/>
      <w:r>
        <w:t xml:space="preserve"> </w:t>
      </w:r>
      <w:proofErr w:type="spellStart"/>
      <w:r>
        <w:t>assemblies</w:t>
      </w:r>
      <w:proofErr w:type="spellEnd"/>
      <w:r>
        <w:t xml:space="preserve"> of Scotland and Wales, </w:t>
      </w:r>
      <w:proofErr w:type="spellStart"/>
      <w:r>
        <w:t>much</w:t>
      </w:r>
      <w:proofErr w:type="spellEnd"/>
      <w:r>
        <w:t xml:space="preserve"> as the </w:t>
      </w:r>
      <w:proofErr w:type="spellStart"/>
      <w:r>
        <w:t>previous</w:t>
      </w:r>
      <w:proofErr w:type="spellEnd"/>
      <w:r>
        <w:t xml:space="preserve"> FAWC.</w:t>
      </w:r>
    </w:p>
  </w:footnote>
  <w:footnote w:id="11">
    <w:p w:rsidR="00603C66" w:rsidRDefault="00603C66" w:rsidP="00723A6F">
      <w:pPr>
        <w:pStyle w:val="FootnoteText"/>
        <w:ind w:left="567" w:hanging="567"/>
        <w:jc w:val="both"/>
      </w:pPr>
      <w:r>
        <w:rPr>
          <w:rStyle w:val="FootnoteReference"/>
        </w:rPr>
        <w:footnoteRef/>
      </w:r>
      <w:r>
        <w:t xml:space="preserve"> </w:t>
      </w:r>
      <w:r>
        <w:tab/>
      </w:r>
      <w:proofErr w:type="spellStart"/>
      <w:r>
        <w:t>This</w:t>
      </w:r>
      <w:proofErr w:type="spellEnd"/>
      <w:r>
        <w:t xml:space="preserve"> </w:t>
      </w:r>
      <w:proofErr w:type="spellStart"/>
      <w:r>
        <w:t>impossibility</w:t>
      </w:r>
      <w:proofErr w:type="spellEnd"/>
      <w:r>
        <w:t xml:space="preserve"> </w:t>
      </w:r>
      <w:proofErr w:type="spellStart"/>
      <w:r>
        <w:t>can</w:t>
      </w:r>
      <w:proofErr w:type="spellEnd"/>
      <w:r>
        <w:t xml:space="preserve">, </w:t>
      </w:r>
      <w:proofErr w:type="spellStart"/>
      <w:r>
        <w:t>perhaps</w:t>
      </w:r>
      <w:proofErr w:type="spellEnd"/>
      <w:r>
        <w:t xml:space="preserve">, </w:t>
      </w:r>
      <w:proofErr w:type="spellStart"/>
      <w:r>
        <w:t>be</w:t>
      </w:r>
      <w:proofErr w:type="spellEnd"/>
      <w:r>
        <w:t xml:space="preserve"> </w:t>
      </w:r>
      <w:proofErr w:type="spellStart"/>
      <w:r>
        <w:t>seen</w:t>
      </w:r>
      <w:proofErr w:type="spellEnd"/>
      <w:r>
        <w:t xml:space="preserve"> as the </w:t>
      </w:r>
      <w:proofErr w:type="spellStart"/>
      <w:r>
        <w:t>consequence</w:t>
      </w:r>
      <w:proofErr w:type="spellEnd"/>
      <w:r>
        <w:t xml:space="preserve"> of the </w:t>
      </w:r>
      <w:proofErr w:type="spellStart"/>
      <w:r>
        <w:t>socio-economic</w:t>
      </w:r>
      <w:proofErr w:type="spellEnd"/>
      <w:r>
        <w:t xml:space="preserve"> (and </w:t>
      </w:r>
      <w:proofErr w:type="spellStart"/>
      <w:r>
        <w:t>political</w:t>
      </w:r>
      <w:proofErr w:type="spellEnd"/>
      <w:r>
        <w:t xml:space="preserve">) </w:t>
      </w:r>
      <w:proofErr w:type="spellStart"/>
      <w:r>
        <w:t>evolution</w:t>
      </w:r>
      <w:proofErr w:type="spellEnd"/>
      <w:r>
        <w:t xml:space="preserve"> of the </w:t>
      </w:r>
      <w:proofErr w:type="spellStart"/>
      <w:r>
        <w:t>governed</w:t>
      </w:r>
      <w:proofErr w:type="spellEnd"/>
      <w:r>
        <w:t xml:space="preserve"> </w:t>
      </w:r>
      <w:proofErr w:type="spellStart"/>
      <w:r>
        <w:t>market</w:t>
      </w:r>
      <w:proofErr w:type="spellEnd"/>
      <w:r>
        <w:t xml:space="preserve"> system (e.g. </w:t>
      </w:r>
      <w:proofErr w:type="spellStart"/>
      <w:r>
        <w:t>Harvey</w:t>
      </w:r>
      <w:proofErr w:type="spellEnd"/>
      <w:r>
        <w:t xml:space="preserve">, 2008) – </w:t>
      </w:r>
      <w:proofErr w:type="spellStart"/>
      <w:r>
        <w:t>where</w:t>
      </w:r>
      <w:proofErr w:type="spellEnd"/>
      <w:r>
        <w:t xml:space="preserve"> ‘</w:t>
      </w:r>
      <w:proofErr w:type="spellStart"/>
      <w:r>
        <w:t>evolution</w:t>
      </w:r>
      <w:proofErr w:type="spellEnd"/>
      <w:r>
        <w:t xml:space="preserve">’ </w:t>
      </w:r>
      <w:proofErr w:type="spellStart"/>
      <w:r>
        <w:t>itself</w:t>
      </w:r>
      <w:proofErr w:type="spellEnd"/>
      <w:r>
        <w:t xml:space="preserve"> is </w:t>
      </w:r>
      <w:proofErr w:type="spellStart"/>
      <w:r>
        <w:t>unique</w:t>
      </w:r>
      <w:proofErr w:type="spellEnd"/>
      <w:r>
        <w:t xml:space="preserve"> in </w:t>
      </w:r>
      <w:proofErr w:type="spellStart"/>
      <w:r>
        <w:t>being</w:t>
      </w:r>
      <w:proofErr w:type="spellEnd"/>
      <w:r>
        <w:t xml:space="preserve"> a </w:t>
      </w:r>
      <w:proofErr w:type="spellStart"/>
      <w:r>
        <w:t>commonly</w:t>
      </w:r>
      <w:proofErr w:type="spellEnd"/>
      <w:r>
        <w:t xml:space="preserve"> </w:t>
      </w:r>
      <w:proofErr w:type="spellStart"/>
      <w:r>
        <w:t>accepted</w:t>
      </w:r>
      <w:proofErr w:type="spellEnd"/>
      <w:r>
        <w:t xml:space="preserve"> ‘</w:t>
      </w:r>
      <w:proofErr w:type="spellStart"/>
      <w:r>
        <w:t>scientific</w:t>
      </w:r>
      <w:proofErr w:type="spellEnd"/>
      <w:r>
        <w:t xml:space="preserve">’ </w:t>
      </w:r>
      <w:proofErr w:type="spellStart"/>
      <w:r>
        <w:t>theory</w:t>
      </w:r>
      <w:proofErr w:type="spellEnd"/>
      <w:r>
        <w:t xml:space="preserve"> </w:t>
      </w:r>
      <w:proofErr w:type="spellStart"/>
      <w:r>
        <w:t>which</w:t>
      </w:r>
      <w:proofErr w:type="spellEnd"/>
      <w:r>
        <w:t xml:space="preserve"> is </w:t>
      </w:r>
      <w:proofErr w:type="spellStart"/>
      <w:r>
        <w:t>inherently</w:t>
      </w:r>
      <w:proofErr w:type="spellEnd"/>
      <w:r>
        <w:t xml:space="preserve"> </w:t>
      </w:r>
      <w:proofErr w:type="spellStart"/>
      <w:r>
        <w:t>ascientific</w:t>
      </w:r>
      <w:proofErr w:type="spellEnd"/>
      <w:r>
        <w:t xml:space="preserve"> in </w:t>
      </w:r>
      <w:proofErr w:type="spellStart"/>
      <w:r>
        <w:t>that</w:t>
      </w:r>
      <w:proofErr w:type="spellEnd"/>
      <w:r>
        <w:t xml:space="preserve"> </w:t>
      </w:r>
      <w:proofErr w:type="spellStart"/>
      <w:r>
        <w:t>it</w:t>
      </w:r>
      <w:proofErr w:type="spellEnd"/>
      <w:r>
        <w:t xml:space="preserve"> </w:t>
      </w:r>
      <w:proofErr w:type="spellStart"/>
      <w:r>
        <w:t>cannot</w:t>
      </w:r>
      <w:proofErr w:type="spellEnd"/>
      <w:r>
        <w:t xml:space="preserve"> </w:t>
      </w:r>
      <w:proofErr w:type="spellStart"/>
      <w:r>
        <w:t>be</w:t>
      </w:r>
      <w:proofErr w:type="spellEnd"/>
      <w:r>
        <w:t xml:space="preserve"> </w:t>
      </w:r>
      <w:proofErr w:type="spellStart"/>
      <w:r>
        <w:t>tested</w:t>
      </w:r>
      <w:proofErr w:type="spellEnd"/>
      <w:r>
        <w:t xml:space="preserve"> and </w:t>
      </w:r>
      <w:proofErr w:type="spellStart"/>
      <w:r>
        <w:t>proved</w:t>
      </w:r>
      <w:proofErr w:type="spellEnd"/>
      <w:r>
        <w:t xml:space="preserve"> </w:t>
      </w:r>
      <w:proofErr w:type="spellStart"/>
      <w:r>
        <w:t>by</w:t>
      </w:r>
      <w:proofErr w:type="spellEnd"/>
      <w:r>
        <w:t xml:space="preserve"> </w:t>
      </w:r>
      <w:proofErr w:type="spellStart"/>
      <w:r>
        <w:t>scientific</w:t>
      </w:r>
      <w:proofErr w:type="spellEnd"/>
      <w:r>
        <w:t xml:space="preserve"> </w:t>
      </w:r>
      <w:proofErr w:type="spellStart"/>
      <w:r>
        <w:t>methods</w:t>
      </w:r>
      <w:proofErr w:type="spellEnd"/>
      <w:r>
        <w:t>.</w:t>
      </w:r>
    </w:p>
  </w:footnote>
  <w:footnote w:id="12">
    <w:p w:rsidR="00603C66" w:rsidRDefault="00603C66">
      <w:pPr>
        <w:pStyle w:val="FootnoteText"/>
        <w:ind w:left="567" w:hanging="567"/>
        <w:jc w:val="both"/>
      </w:pPr>
      <w:r>
        <w:rPr>
          <w:rStyle w:val="FootnoteReference"/>
        </w:rPr>
        <w:footnoteRef/>
      </w:r>
      <w:r>
        <w:t xml:space="preserve"> </w:t>
      </w:r>
      <w:r>
        <w:tab/>
      </w:r>
      <w:r>
        <w:t xml:space="preserve">Of </w:t>
      </w:r>
      <w:proofErr w:type="spellStart"/>
      <w:r>
        <w:t>course</w:t>
      </w:r>
      <w:proofErr w:type="spellEnd"/>
      <w:r>
        <w:t xml:space="preserve">, </w:t>
      </w:r>
      <w:proofErr w:type="spellStart"/>
      <w:r>
        <w:t>there</w:t>
      </w:r>
      <w:proofErr w:type="spellEnd"/>
      <w:r>
        <w:t xml:space="preserve"> </w:t>
      </w:r>
      <w:proofErr w:type="spellStart"/>
      <w:r>
        <w:t>will</w:t>
      </w:r>
      <w:proofErr w:type="spellEnd"/>
      <w:r>
        <w:t xml:space="preserve"> continue to </w:t>
      </w:r>
      <w:proofErr w:type="spellStart"/>
      <w:r>
        <w:t>be</w:t>
      </w:r>
      <w:proofErr w:type="spellEnd"/>
      <w:r>
        <w:t xml:space="preserve"> </w:t>
      </w:r>
      <w:proofErr w:type="spellStart"/>
      <w:r>
        <w:t>strong</w:t>
      </w:r>
      <w:proofErr w:type="spellEnd"/>
      <w:r>
        <w:t xml:space="preserve"> </w:t>
      </w:r>
      <w:proofErr w:type="spellStart"/>
      <w:r>
        <w:t>complaints</w:t>
      </w:r>
      <w:proofErr w:type="spellEnd"/>
      <w:r>
        <w:t xml:space="preserve"> </w:t>
      </w:r>
      <w:proofErr w:type="spellStart"/>
      <w:r>
        <w:t>that</w:t>
      </w:r>
      <w:proofErr w:type="spellEnd"/>
      <w:r>
        <w:t xml:space="preserve"> the retailers (</w:t>
      </w:r>
      <w:proofErr w:type="spellStart"/>
      <w:r>
        <w:t>especially</w:t>
      </w:r>
      <w:proofErr w:type="spellEnd"/>
      <w:r>
        <w:t xml:space="preserve"> the </w:t>
      </w:r>
      <w:proofErr w:type="spellStart"/>
      <w:r>
        <w:t>large</w:t>
      </w:r>
      <w:proofErr w:type="spellEnd"/>
      <w:r>
        <w:t xml:space="preserve"> </w:t>
      </w:r>
      <w:proofErr w:type="spellStart"/>
      <w:r>
        <w:t>multiples</w:t>
      </w:r>
      <w:proofErr w:type="spellEnd"/>
      <w:r>
        <w:t xml:space="preserve">) have </w:t>
      </w:r>
      <w:proofErr w:type="spellStart"/>
      <w:r>
        <w:t>too</w:t>
      </w:r>
      <w:proofErr w:type="spellEnd"/>
      <w:r>
        <w:t xml:space="preserve"> </w:t>
      </w:r>
      <w:proofErr w:type="spellStart"/>
      <w:r>
        <w:t>much</w:t>
      </w:r>
      <w:proofErr w:type="spellEnd"/>
      <w:r>
        <w:t xml:space="preserve"> </w:t>
      </w:r>
      <w:proofErr w:type="spellStart"/>
      <w:r>
        <w:t>economic</w:t>
      </w:r>
      <w:proofErr w:type="spellEnd"/>
      <w:r>
        <w:t xml:space="preserve"> power </w:t>
      </w:r>
      <w:proofErr w:type="spellStart"/>
      <w:r>
        <w:t>compared</w:t>
      </w:r>
      <w:proofErr w:type="spellEnd"/>
      <w:r>
        <w:t xml:space="preserve"> </w:t>
      </w:r>
      <w:proofErr w:type="spellStart"/>
      <w:r>
        <w:t>with</w:t>
      </w:r>
      <w:proofErr w:type="spellEnd"/>
      <w:r>
        <w:t xml:space="preserve"> farmers and </w:t>
      </w:r>
      <w:proofErr w:type="spellStart"/>
      <w:r>
        <w:t>others</w:t>
      </w:r>
      <w:proofErr w:type="spellEnd"/>
      <w:r>
        <w:t xml:space="preserve"> in the </w:t>
      </w:r>
      <w:proofErr w:type="spellStart"/>
      <w:r>
        <w:t>supply</w:t>
      </w:r>
      <w:proofErr w:type="spellEnd"/>
      <w:r>
        <w:t xml:space="preserve"> </w:t>
      </w:r>
      <w:proofErr w:type="spellStart"/>
      <w:r>
        <w:t>chain</w:t>
      </w:r>
      <w:proofErr w:type="spellEnd"/>
      <w:r>
        <w:t xml:space="preserve">, and </w:t>
      </w:r>
      <w:proofErr w:type="spellStart"/>
      <w:r>
        <w:t>will</w:t>
      </w:r>
      <w:proofErr w:type="spellEnd"/>
      <w:r>
        <w:t xml:space="preserve"> continue to </w:t>
      </w:r>
      <w:proofErr w:type="spellStart"/>
      <w:r>
        <w:t>earn</w:t>
      </w:r>
      <w:proofErr w:type="spellEnd"/>
      <w:r>
        <w:t xml:space="preserve"> </w:t>
      </w:r>
      <w:proofErr w:type="spellStart"/>
      <w:r>
        <w:t>excessive</w:t>
      </w:r>
      <w:proofErr w:type="spellEnd"/>
      <w:r>
        <w:t xml:space="preserve"> profits and </w:t>
      </w:r>
      <w:proofErr w:type="spellStart"/>
      <w:r>
        <w:t>margins</w:t>
      </w:r>
      <w:proofErr w:type="spellEnd"/>
      <w:r>
        <w:t xml:space="preserve"> at the </w:t>
      </w:r>
      <w:proofErr w:type="spellStart"/>
      <w:r>
        <w:t>expense</w:t>
      </w:r>
      <w:proofErr w:type="spellEnd"/>
      <w:r>
        <w:t xml:space="preserve"> of the rest of the </w:t>
      </w:r>
      <w:proofErr w:type="spellStart"/>
      <w:r>
        <w:t>chain</w:t>
      </w:r>
      <w:proofErr w:type="spellEnd"/>
      <w:r>
        <w:t xml:space="preserve">. </w:t>
      </w:r>
      <w:proofErr w:type="spellStart"/>
      <w:r>
        <w:t>Although</w:t>
      </w:r>
      <w:proofErr w:type="spellEnd"/>
      <w:r>
        <w:t xml:space="preserve"> </w:t>
      </w:r>
      <w:proofErr w:type="spellStart"/>
      <w:r>
        <w:t>this</w:t>
      </w:r>
      <w:proofErr w:type="spellEnd"/>
      <w:r>
        <w:t xml:space="preserve"> is </w:t>
      </w:r>
      <w:proofErr w:type="spellStart"/>
      <w:r>
        <w:t>clearly</w:t>
      </w:r>
      <w:proofErr w:type="spellEnd"/>
      <w:r>
        <w:t xml:space="preserve"> a </w:t>
      </w:r>
      <w:proofErr w:type="spellStart"/>
      <w:r>
        <w:t>wider</w:t>
      </w:r>
      <w:proofErr w:type="spellEnd"/>
      <w:r>
        <w:t xml:space="preserve"> issue </w:t>
      </w:r>
      <w:proofErr w:type="spellStart"/>
      <w:r>
        <w:t>than</w:t>
      </w:r>
      <w:proofErr w:type="spellEnd"/>
      <w:r>
        <w:t xml:space="preserve"> AW </w:t>
      </w:r>
      <w:r>
        <w:rPr>
          <w:i/>
        </w:rPr>
        <w:t>per se</w:t>
      </w:r>
      <w:r>
        <w:t xml:space="preserve">, </w:t>
      </w:r>
      <w:proofErr w:type="spellStart"/>
      <w:r>
        <w:t>there</w:t>
      </w:r>
      <w:proofErr w:type="spellEnd"/>
      <w:r>
        <w:t xml:space="preserve"> </w:t>
      </w:r>
      <w:proofErr w:type="spellStart"/>
      <w:r>
        <w:t>may</w:t>
      </w:r>
      <w:proofErr w:type="spellEnd"/>
      <w:r>
        <w:t xml:space="preserve"> </w:t>
      </w:r>
      <w:proofErr w:type="spellStart"/>
      <w:r>
        <w:t>be</w:t>
      </w:r>
      <w:proofErr w:type="spellEnd"/>
      <w:r>
        <w:t xml:space="preserve"> </w:t>
      </w:r>
      <w:proofErr w:type="spellStart"/>
      <w:r>
        <w:t>barriers</w:t>
      </w:r>
      <w:proofErr w:type="spellEnd"/>
      <w:r>
        <w:t xml:space="preserve"> </w:t>
      </w:r>
      <w:proofErr w:type="spellStart"/>
      <w:r>
        <w:t>within</w:t>
      </w:r>
      <w:proofErr w:type="spellEnd"/>
      <w:r>
        <w:t xml:space="preserve"> the </w:t>
      </w:r>
      <w:proofErr w:type="spellStart"/>
      <w:r>
        <w:t>chain</w:t>
      </w:r>
      <w:proofErr w:type="spellEnd"/>
      <w:r>
        <w:t xml:space="preserve"> </w:t>
      </w:r>
      <w:proofErr w:type="spellStart"/>
      <w:r>
        <w:t>which</w:t>
      </w:r>
      <w:proofErr w:type="spellEnd"/>
      <w:r>
        <w:t xml:space="preserve"> prevent the </w:t>
      </w:r>
      <w:proofErr w:type="spellStart"/>
      <w:r>
        <w:t>market</w:t>
      </w:r>
      <w:proofErr w:type="spellEnd"/>
      <w:r>
        <w:t xml:space="preserve"> </w:t>
      </w:r>
      <w:proofErr w:type="spellStart"/>
      <w:r>
        <w:t>from</w:t>
      </w:r>
      <w:proofErr w:type="spellEnd"/>
      <w:r>
        <w:t xml:space="preserve"> </w:t>
      </w:r>
      <w:proofErr w:type="spellStart"/>
      <w:r>
        <w:t>transmitting</w:t>
      </w:r>
      <w:proofErr w:type="spellEnd"/>
      <w:r>
        <w:t xml:space="preserve"> </w:t>
      </w:r>
      <w:proofErr w:type="spellStart"/>
      <w:r>
        <w:t>genuine</w:t>
      </w:r>
      <w:proofErr w:type="spellEnd"/>
      <w:r>
        <w:t xml:space="preserve"> </w:t>
      </w:r>
      <w:proofErr w:type="spellStart"/>
      <w:r>
        <w:t>consumer</w:t>
      </w:r>
      <w:proofErr w:type="spellEnd"/>
      <w:r>
        <w:t>/</w:t>
      </w:r>
      <w:proofErr w:type="spellStart"/>
      <w:r>
        <w:t>citizen</w:t>
      </w:r>
      <w:proofErr w:type="spellEnd"/>
      <w:r>
        <w:t xml:space="preserve"> </w:t>
      </w:r>
      <w:proofErr w:type="spellStart"/>
      <w:r>
        <w:t>demands</w:t>
      </w:r>
      <w:proofErr w:type="spellEnd"/>
      <w:r>
        <w:t xml:space="preserve"> </w:t>
      </w:r>
      <w:proofErr w:type="spellStart"/>
      <w:r>
        <w:t>for</w:t>
      </w:r>
      <w:proofErr w:type="spellEnd"/>
      <w:r>
        <w:t xml:space="preserve"> </w:t>
      </w:r>
      <w:proofErr w:type="spellStart"/>
      <w:r>
        <w:t>better</w:t>
      </w:r>
      <w:proofErr w:type="spellEnd"/>
      <w:r>
        <w:t xml:space="preserve"> </w:t>
      </w:r>
      <w:proofErr w:type="spellStart"/>
      <w:r>
        <w:t>animal</w:t>
      </w:r>
      <w:proofErr w:type="spellEnd"/>
      <w:r>
        <w:t xml:space="preserve"> welfare </w:t>
      </w:r>
      <w:proofErr w:type="spellStart"/>
      <w:r>
        <w:t>through</w:t>
      </w:r>
      <w:proofErr w:type="spellEnd"/>
      <w:r>
        <w:t xml:space="preserve"> the </w:t>
      </w:r>
      <w:proofErr w:type="spellStart"/>
      <w:r>
        <w:t>chain</w:t>
      </w:r>
      <w:proofErr w:type="spellEnd"/>
      <w:r>
        <w:t xml:space="preserve"> to </w:t>
      </w:r>
      <w:proofErr w:type="spellStart"/>
      <w:r>
        <w:t>primary</w:t>
      </w:r>
      <w:proofErr w:type="spellEnd"/>
      <w:r>
        <w:t xml:space="preserve"> producers.  These issues are </w:t>
      </w:r>
      <w:proofErr w:type="spellStart"/>
      <w:r>
        <w:t>addressed</w:t>
      </w:r>
      <w:proofErr w:type="spellEnd"/>
      <w:r>
        <w:t xml:space="preserve"> </w:t>
      </w:r>
      <w:proofErr w:type="spellStart"/>
      <w:r>
        <w:t>below</w:t>
      </w:r>
      <w:proofErr w:type="spellEnd"/>
      <w:r>
        <w:t>.</w:t>
      </w:r>
    </w:p>
  </w:footnote>
  <w:footnote w:id="13">
    <w:p w:rsidR="00603C66" w:rsidRDefault="00603C66" w:rsidP="00395309">
      <w:pPr>
        <w:pStyle w:val="FootnoteText"/>
        <w:spacing w:after="0"/>
        <w:ind w:left="567" w:hanging="567"/>
        <w:jc w:val="both"/>
      </w:pPr>
      <w:r>
        <w:rPr>
          <w:rStyle w:val="FootnoteReference"/>
        </w:rPr>
        <w:footnoteRef/>
      </w:r>
      <w:r>
        <w:t xml:space="preserve"> </w:t>
      </w:r>
      <w:r>
        <w:tab/>
      </w:r>
      <w:r>
        <w:t xml:space="preserve">The </w:t>
      </w:r>
      <w:proofErr w:type="spellStart"/>
      <w:r>
        <w:t>precise</w:t>
      </w:r>
      <w:proofErr w:type="spellEnd"/>
      <w:r>
        <w:t xml:space="preserve"> </w:t>
      </w:r>
      <w:proofErr w:type="spellStart"/>
      <w:r>
        <w:t>definitions</w:t>
      </w:r>
      <w:proofErr w:type="spellEnd"/>
      <w:r>
        <w:t xml:space="preserve"> of </w:t>
      </w:r>
      <w:proofErr w:type="spellStart"/>
      <w:r>
        <w:t>each</w:t>
      </w:r>
      <w:proofErr w:type="spellEnd"/>
      <w:r>
        <w:t xml:space="preserve"> of the variables (</w:t>
      </w:r>
      <w:proofErr w:type="spellStart"/>
      <w:r>
        <w:t>nodes</w:t>
      </w:r>
      <w:proofErr w:type="spellEnd"/>
      <w:r>
        <w:t xml:space="preserve">) in </w:t>
      </w:r>
      <w:proofErr w:type="spellStart"/>
      <w:r>
        <w:t>this</w:t>
      </w:r>
      <w:proofErr w:type="spellEnd"/>
      <w:r>
        <w:t xml:space="preserve"> </w:t>
      </w:r>
      <w:proofErr w:type="spellStart"/>
      <w:r>
        <w:t>network</w:t>
      </w:r>
      <w:proofErr w:type="spellEnd"/>
      <w:r>
        <w:t xml:space="preserve"> are </w:t>
      </w:r>
      <w:proofErr w:type="spellStart"/>
      <w:r>
        <w:t>provided</w:t>
      </w:r>
      <w:proofErr w:type="spellEnd"/>
      <w:r>
        <w:t xml:space="preserve"> in Appendix 1, </w:t>
      </w:r>
      <w:proofErr w:type="spellStart"/>
      <w:r>
        <w:t>including</w:t>
      </w:r>
      <w:proofErr w:type="spellEnd"/>
      <w:r>
        <w:t xml:space="preserve"> the </w:t>
      </w:r>
      <w:proofErr w:type="spellStart"/>
      <w:r>
        <w:t>frequency</w:t>
      </w:r>
      <w:proofErr w:type="spellEnd"/>
      <w:r>
        <w:t xml:space="preserve"> plots </w:t>
      </w:r>
      <w:proofErr w:type="spellStart"/>
      <w:r>
        <w:t>for</w:t>
      </w:r>
      <w:proofErr w:type="spellEnd"/>
      <w:r>
        <w:t xml:space="preserve"> the </w:t>
      </w:r>
      <w:proofErr w:type="spellStart"/>
      <w:r>
        <w:t>responses</w:t>
      </w:r>
      <w:proofErr w:type="spellEnd"/>
      <w:r>
        <w:t xml:space="preserve"> </w:t>
      </w:r>
      <w:proofErr w:type="spellStart"/>
      <w:r>
        <w:t>collected</w:t>
      </w:r>
      <w:proofErr w:type="spellEnd"/>
      <w:r>
        <w:t xml:space="preserve"> </w:t>
      </w:r>
      <w:proofErr w:type="spellStart"/>
      <w:r>
        <w:t>for</w:t>
      </w:r>
      <w:proofErr w:type="spellEnd"/>
      <w:r>
        <w:t xml:space="preserve"> </w:t>
      </w:r>
      <w:proofErr w:type="spellStart"/>
      <w:r>
        <w:t>each</w:t>
      </w:r>
      <w:proofErr w:type="spellEnd"/>
      <w:r>
        <w:t xml:space="preserve"> </w:t>
      </w:r>
      <w:proofErr w:type="spellStart"/>
      <w:r>
        <w:t>variable</w:t>
      </w:r>
      <w:proofErr w:type="spellEnd"/>
      <w:r>
        <w:t xml:space="preserve">. </w:t>
      </w:r>
      <w:proofErr w:type="spellStart"/>
      <w:r>
        <w:t>Our</w:t>
      </w:r>
      <w:proofErr w:type="spellEnd"/>
      <w:r>
        <w:t xml:space="preserve"> </w:t>
      </w:r>
      <w:proofErr w:type="spellStart"/>
      <w:r>
        <w:t>analysis</w:t>
      </w:r>
      <w:proofErr w:type="spellEnd"/>
      <w:r>
        <w:t xml:space="preserve"> is </w:t>
      </w:r>
      <w:proofErr w:type="spellStart"/>
      <w:r>
        <w:t>conducted</w:t>
      </w:r>
      <w:proofErr w:type="spellEnd"/>
      <w:r>
        <w:t xml:space="preserve"> </w:t>
      </w:r>
      <w:proofErr w:type="spellStart"/>
      <w:r>
        <w:t>using</w:t>
      </w:r>
      <w:proofErr w:type="spellEnd"/>
      <w:r>
        <w:t xml:space="preserve"> </w:t>
      </w:r>
      <w:proofErr w:type="spellStart"/>
      <w:r>
        <w:t>Netica</w:t>
      </w:r>
      <w:proofErr w:type="spellEnd"/>
      <w:r>
        <w:t xml:space="preserve">, </w:t>
      </w:r>
      <w:proofErr w:type="spellStart"/>
      <w:r>
        <w:t>available</w:t>
      </w:r>
      <w:proofErr w:type="spellEnd"/>
      <w:r>
        <w:t xml:space="preserve"> at: </w:t>
      </w:r>
      <w:hyperlink r:id="rId1" w:history="1">
        <w:r w:rsidRPr="001104A4">
          <w:rPr>
            <w:rStyle w:val="Hyperlink"/>
          </w:rPr>
          <w:t>http://www.norsys.com/download.html</w:t>
        </w:r>
      </w:hyperlink>
      <w:r>
        <w:t xml:space="preserve">. </w:t>
      </w:r>
      <w:proofErr w:type="spellStart"/>
      <w:r>
        <w:t>Our</w:t>
      </w:r>
      <w:proofErr w:type="spellEnd"/>
      <w:r>
        <w:t xml:space="preserve"> data and the </w:t>
      </w:r>
      <w:proofErr w:type="spellStart"/>
      <w:r>
        <w:t>Netica</w:t>
      </w:r>
      <w:proofErr w:type="spellEnd"/>
      <w:r>
        <w:t xml:space="preserve"> </w:t>
      </w:r>
      <w:proofErr w:type="spellStart"/>
      <w:r>
        <w:t>specifications</w:t>
      </w:r>
      <w:proofErr w:type="spellEnd"/>
      <w:r>
        <w:t xml:space="preserve"> </w:t>
      </w:r>
      <w:proofErr w:type="spellStart"/>
      <w:r>
        <w:t>for</w:t>
      </w:r>
      <w:proofErr w:type="spellEnd"/>
      <w:r>
        <w:t xml:space="preserve"> the </w:t>
      </w:r>
      <w:proofErr w:type="spellStart"/>
      <w:r>
        <w:t>networks</w:t>
      </w:r>
      <w:proofErr w:type="spellEnd"/>
      <w:r>
        <w:t xml:space="preserve"> </w:t>
      </w:r>
      <w:proofErr w:type="spellStart"/>
      <w:r>
        <w:t>reported</w:t>
      </w:r>
      <w:proofErr w:type="spellEnd"/>
      <w:r>
        <w:t xml:space="preserve"> </w:t>
      </w:r>
      <w:proofErr w:type="spellStart"/>
      <w:r>
        <w:t>here</w:t>
      </w:r>
      <w:proofErr w:type="spellEnd"/>
      <w:r>
        <w:t xml:space="preserve"> </w:t>
      </w:r>
      <w:proofErr w:type="spellStart"/>
      <w:r>
        <w:t>will</w:t>
      </w:r>
      <w:proofErr w:type="spellEnd"/>
      <w:r>
        <w:t xml:space="preserve"> </w:t>
      </w:r>
      <w:proofErr w:type="spellStart"/>
      <w:r>
        <w:t>be</w:t>
      </w:r>
      <w:proofErr w:type="spellEnd"/>
      <w:r>
        <w:t xml:space="preserve"> </w:t>
      </w:r>
      <w:proofErr w:type="spellStart"/>
      <w:r>
        <w:t>available</w:t>
      </w:r>
      <w:proofErr w:type="spellEnd"/>
      <w:r>
        <w:t xml:space="preserve"> </w:t>
      </w:r>
      <w:proofErr w:type="spellStart"/>
      <w:r>
        <w:t>on</w:t>
      </w:r>
      <w:proofErr w:type="spellEnd"/>
      <w:r>
        <w:t xml:space="preserve"> the </w:t>
      </w:r>
      <w:proofErr w:type="spellStart"/>
      <w:r>
        <w:t>Econ</w:t>
      </w:r>
      <w:proofErr w:type="spellEnd"/>
      <w:r>
        <w:t xml:space="preserve"> Welfare web site.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C66" w:rsidRDefault="00603C66">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C66" w:rsidRDefault="00603C66">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C66" w:rsidRDefault="00603C6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F4421"/>
    <w:multiLevelType w:val="hybridMultilevel"/>
    <w:tmpl w:val="FB082488"/>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
    <w:nsid w:val="0147422B"/>
    <w:multiLevelType w:val="hybridMultilevel"/>
    <w:tmpl w:val="68AAA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884BD8"/>
    <w:multiLevelType w:val="hybridMultilevel"/>
    <w:tmpl w:val="32D46866"/>
    <w:lvl w:ilvl="0" w:tplc="63A423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1272DC"/>
    <w:multiLevelType w:val="hybridMultilevel"/>
    <w:tmpl w:val="5F188D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C534D50"/>
    <w:multiLevelType w:val="hybridMultilevel"/>
    <w:tmpl w:val="94D05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B19FC"/>
    <w:multiLevelType w:val="multilevel"/>
    <w:tmpl w:val="725EE0A2"/>
    <w:lvl w:ilvl="0">
      <w:start w:val="1"/>
      <w:numFmt w:val="decimal"/>
      <w:lvlText w:val="%1."/>
      <w:lvlJc w:val="left"/>
      <w:pPr>
        <w:ind w:left="786"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22D27CFD"/>
    <w:multiLevelType w:val="hybridMultilevel"/>
    <w:tmpl w:val="95A67510"/>
    <w:lvl w:ilvl="0" w:tplc="44B06258">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25C53679"/>
    <w:multiLevelType w:val="hybridMultilevel"/>
    <w:tmpl w:val="94D057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F8662C"/>
    <w:multiLevelType w:val="hybridMultilevel"/>
    <w:tmpl w:val="263C175E"/>
    <w:lvl w:ilvl="0" w:tplc="FFFFFFFF">
      <w:start w:val="1"/>
      <w:numFmt w:val="lowerLetter"/>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9">
    <w:nsid w:val="3C327961"/>
    <w:multiLevelType w:val="hybridMultilevel"/>
    <w:tmpl w:val="9538E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Arial"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Arial"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A99030A"/>
    <w:multiLevelType w:val="hybridMultilevel"/>
    <w:tmpl w:val="9B84A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293D36"/>
    <w:multiLevelType w:val="hybridMultilevel"/>
    <w:tmpl w:val="1BCE0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542926"/>
    <w:multiLevelType w:val="hybridMultilevel"/>
    <w:tmpl w:val="59E059F4"/>
    <w:lvl w:ilvl="0" w:tplc="4A700D4E">
      <w:start w:val="1"/>
      <w:numFmt w:val="decimal"/>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nsid w:val="5E3C5E9F"/>
    <w:multiLevelType w:val="multilevel"/>
    <w:tmpl w:val="5A68B16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nsid w:val="6AFE50EF"/>
    <w:multiLevelType w:val="hybridMultilevel"/>
    <w:tmpl w:val="1BC481FC"/>
    <w:lvl w:ilvl="0" w:tplc="367CBAE4">
      <w:start w:val="1"/>
      <w:numFmt w:val="decimal"/>
      <w:pStyle w:val="reference"/>
      <w:lvlText w:val="%1."/>
      <w:lvlJc w:val="left"/>
      <w:pPr>
        <w:tabs>
          <w:tab w:val="num" w:pos="357"/>
        </w:tabs>
        <w:ind w:left="35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33330FA"/>
    <w:multiLevelType w:val="multilevel"/>
    <w:tmpl w:val="797876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9"/>
  </w:num>
  <w:num w:numId="3">
    <w:abstractNumId w:val="3"/>
  </w:num>
  <w:num w:numId="4">
    <w:abstractNumId w:val="0"/>
  </w:num>
  <w:num w:numId="5">
    <w:abstractNumId w:val="8"/>
  </w:num>
  <w:num w:numId="6">
    <w:abstractNumId w:val="5"/>
  </w:num>
  <w:num w:numId="7">
    <w:abstractNumId w:val="15"/>
  </w:num>
  <w:num w:numId="8">
    <w:abstractNumId w:val="12"/>
  </w:num>
  <w:num w:numId="9">
    <w:abstractNumId w:val="6"/>
  </w:num>
  <w:num w:numId="10">
    <w:abstractNumId w:val="4"/>
  </w:num>
  <w:num w:numId="11">
    <w:abstractNumId w:val="14"/>
  </w:num>
  <w:num w:numId="12">
    <w:abstractNumId w:val="14"/>
    <w:lvlOverride w:ilvl="0">
      <w:startOverride w:val="1"/>
    </w:lvlOverride>
  </w:num>
  <w:num w:numId="13">
    <w:abstractNumId w:val="1"/>
  </w:num>
  <w:num w:numId="14">
    <w:abstractNumId w:val="2"/>
  </w:num>
  <w:num w:numId="15">
    <w:abstractNumId w:val="7"/>
  </w:num>
  <w:num w:numId="16">
    <w:abstractNumId w:val="11"/>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oNotTrackMoves/>
  <w:defaultTabStop w:val="1304"/>
  <w:hyphenationZone w:val="425"/>
  <w:drawingGridHorizontalSpacing w:val="120"/>
  <w:displayHorizontalDrawingGridEvery w:val="2"/>
  <w:characterSpacingControl w:val="doNotCompress"/>
  <w:hdrShapeDefaults>
    <o:shapedefaults v:ext="edit" spidmax="2054"/>
  </w:hdrShapeDefaults>
  <w:footnotePr>
    <w:footnote w:id="-1"/>
    <w:footnote w:id="0"/>
  </w:footnotePr>
  <w:endnotePr>
    <w:endnote w:id="-1"/>
    <w:endnote w:id="0"/>
  </w:endnotePr>
  <w:compat/>
  <w:rsids>
    <w:rsidRoot w:val="00865D9A"/>
    <w:rsid w:val="000002A3"/>
    <w:rsid w:val="000039F6"/>
    <w:rsid w:val="0000769C"/>
    <w:rsid w:val="0001083E"/>
    <w:rsid w:val="00014076"/>
    <w:rsid w:val="00014D75"/>
    <w:rsid w:val="0002250C"/>
    <w:rsid w:val="00024A5E"/>
    <w:rsid w:val="000278A0"/>
    <w:rsid w:val="00036577"/>
    <w:rsid w:val="00037B32"/>
    <w:rsid w:val="0005402F"/>
    <w:rsid w:val="00064324"/>
    <w:rsid w:val="00067DDB"/>
    <w:rsid w:val="0007184A"/>
    <w:rsid w:val="00071E93"/>
    <w:rsid w:val="000724DC"/>
    <w:rsid w:val="00072692"/>
    <w:rsid w:val="000739A9"/>
    <w:rsid w:val="00075578"/>
    <w:rsid w:val="00077A32"/>
    <w:rsid w:val="00080CFB"/>
    <w:rsid w:val="00085149"/>
    <w:rsid w:val="00085DDA"/>
    <w:rsid w:val="000865E5"/>
    <w:rsid w:val="0008791D"/>
    <w:rsid w:val="00096EDD"/>
    <w:rsid w:val="000A269C"/>
    <w:rsid w:val="000B4BF5"/>
    <w:rsid w:val="000B6266"/>
    <w:rsid w:val="000B735C"/>
    <w:rsid w:val="000C002D"/>
    <w:rsid w:val="000C2880"/>
    <w:rsid w:val="000C3546"/>
    <w:rsid w:val="000C39F1"/>
    <w:rsid w:val="000C42A2"/>
    <w:rsid w:val="000C4763"/>
    <w:rsid w:val="000D6A15"/>
    <w:rsid w:val="000E0A43"/>
    <w:rsid w:val="000F0F2A"/>
    <w:rsid w:val="000F18EF"/>
    <w:rsid w:val="00101393"/>
    <w:rsid w:val="00102FC7"/>
    <w:rsid w:val="001141DE"/>
    <w:rsid w:val="00122912"/>
    <w:rsid w:val="00122E4B"/>
    <w:rsid w:val="00131B85"/>
    <w:rsid w:val="001338A5"/>
    <w:rsid w:val="00141C17"/>
    <w:rsid w:val="00142BDA"/>
    <w:rsid w:val="00143D49"/>
    <w:rsid w:val="00153B70"/>
    <w:rsid w:val="00154507"/>
    <w:rsid w:val="00154A2A"/>
    <w:rsid w:val="00155E70"/>
    <w:rsid w:val="001576F0"/>
    <w:rsid w:val="00162E95"/>
    <w:rsid w:val="00164AF2"/>
    <w:rsid w:val="00175E06"/>
    <w:rsid w:val="001833C9"/>
    <w:rsid w:val="001916C1"/>
    <w:rsid w:val="00192EC8"/>
    <w:rsid w:val="00195A08"/>
    <w:rsid w:val="001970B2"/>
    <w:rsid w:val="001971DF"/>
    <w:rsid w:val="001979DB"/>
    <w:rsid w:val="00197D2C"/>
    <w:rsid w:val="001A6273"/>
    <w:rsid w:val="001A740D"/>
    <w:rsid w:val="001B1132"/>
    <w:rsid w:val="001C0155"/>
    <w:rsid w:val="001C17DE"/>
    <w:rsid w:val="001C29D2"/>
    <w:rsid w:val="001C3DF8"/>
    <w:rsid w:val="001C537B"/>
    <w:rsid w:val="001D41D6"/>
    <w:rsid w:val="001D4668"/>
    <w:rsid w:val="001D54FF"/>
    <w:rsid w:val="001D7AA0"/>
    <w:rsid w:val="001D7DC8"/>
    <w:rsid w:val="001E235C"/>
    <w:rsid w:val="001E4958"/>
    <w:rsid w:val="001E65B0"/>
    <w:rsid w:val="001F0116"/>
    <w:rsid w:val="001F1FC9"/>
    <w:rsid w:val="001F2D18"/>
    <w:rsid w:val="001F3718"/>
    <w:rsid w:val="00207F21"/>
    <w:rsid w:val="00216BCD"/>
    <w:rsid w:val="002177DB"/>
    <w:rsid w:val="00223018"/>
    <w:rsid w:val="0022752D"/>
    <w:rsid w:val="00230B83"/>
    <w:rsid w:val="002372BD"/>
    <w:rsid w:val="00240FD8"/>
    <w:rsid w:val="00241544"/>
    <w:rsid w:val="00243952"/>
    <w:rsid w:val="00243A1A"/>
    <w:rsid w:val="00246D86"/>
    <w:rsid w:val="002474D9"/>
    <w:rsid w:val="00247FE5"/>
    <w:rsid w:val="002513D1"/>
    <w:rsid w:val="002551E4"/>
    <w:rsid w:val="00255968"/>
    <w:rsid w:val="00262296"/>
    <w:rsid w:val="00265F55"/>
    <w:rsid w:val="00266B15"/>
    <w:rsid w:val="00271832"/>
    <w:rsid w:val="002722EE"/>
    <w:rsid w:val="002750BD"/>
    <w:rsid w:val="002758B5"/>
    <w:rsid w:val="00277528"/>
    <w:rsid w:val="00281A2F"/>
    <w:rsid w:val="00282B87"/>
    <w:rsid w:val="00285DFC"/>
    <w:rsid w:val="00286C2E"/>
    <w:rsid w:val="00291091"/>
    <w:rsid w:val="00293875"/>
    <w:rsid w:val="00293ECF"/>
    <w:rsid w:val="002958F3"/>
    <w:rsid w:val="002B0F77"/>
    <w:rsid w:val="002B2DA4"/>
    <w:rsid w:val="002C5BB1"/>
    <w:rsid w:val="002C6003"/>
    <w:rsid w:val="002E0E89"/>
    <w:rsid w:val="002F123F"/>
    <w:rsid w:val="002F2777"/>
    <w:rsid w:val="002F3C28"/>
    <w:rsid w:val="002F48A9"/>
    <w:rsid w:val="002F62B9"/>
    <w:rsid w:val="00303BEE"/>
    <w:rsid w:val="00307344"/>
    <w:rsid w:val="00311653"/>
    <w:rsid w:val="00323CFB"/>
    <w:rsid w:val="00331DF8"/>
    <w:rsid w:val="003326BA"/>
    <w:rsid w:val="00333D2D"/>
    <w:rsid w:val="00334D66"/>
    <w:rsid w:val="00340FFF"/>
    <w:rsid w:val="0034230E"/>
    <w:rsid w:val="00344545"/>
    <w:rsid w:val="003505E9"/>
    <w:rsid w:val="00355430"/>
    <w:rsid w:val="003602A6"/>
    <w:rsid w:val="00362282"/>
    <w:rsid w:val="00364227"/>
    <w:rsid w:val="003754C1"/>
    <w:rsid w:val="00375D0A"/>
    <w:rsid w:val="00377CA4"/>
    <w:rsid w:val="0038420A"/>
    <w:rsid w:val="003905D6"/>
    <w:rsid w:val="00392565"/>
    <w:rsid w:val="00395309"/>
    <w:rsid w:val="0039626E"/>
    <w:rsid w:val="003A76B8"/>
    <w:rsid w:val="003B5946"/>
    <w:rsid w:val="003B7CEB"/>
    <w:rsid w:val="003B7E74"/>
    <w:rsid w:val="003C18BD"/>
    <w:rsid w:val="003C4195"/>
    <w:rsid w:val="003C69B4"/>
    <w:rsid w:val="003D055A"/>
    <w:rsid w:val="003D56B9"/>
    <w:rsid w:val="003D584F"/>
    <w:rsid w:val="003E0F30"/>
    <w:rsid w:val="003E1B33"/>
    <w:rsid w:val="003E2CFE"/>
    <w:rsid w:val="003E743B"/>
    <w:rsid w:val="003F0011"/>
    <w:rsid w:val="003F14C0"/>
    <w:rsid w:val="003F447E"/>
    <w:rsid w:val="003F5C2B"/>
    <w:rsid w:val="004047CF"/>
    <w:rsid w:val="00404839"/>
    <w:rsid w:val="004053DB"/>
    <w:rsid w:val="00412744"/>
    <w:rsid w:val="00412AF5"/>
    <w:rsid w:val="0042352F"/>
    <w:rsid w:val="0042574E"/>
    <w:rsid w:val="00427888"/>
    <w:rsid w:val="00440ABC"/>
    <w:rsid w:val="00442C12"/>
    <w:rsid w:val="00453A60"/>
    <w:rsid w:val="004562E9"/>
    <w:rsid w:val="00457E46"/>
    <w:rsid w:val="00461C81"/>
    <w:rsid w:val="00481FF2"/>
    <w:rsid w:val="0048285B"/>
    <w:rsid w:val="00483D2C"/>
    <w:rsid w:val="00487612"/>
    <w:rsid w:val="00487DCF"/>
    <w:rsid w:val="00497892"/>
    <w:rsid w:val="00497C12"/>
    <w:rsid w:val="004A001D"/>
    <w:rsid w:val="004A6E44"/>
    <w:rsid w:val="004B04BE"/>
    <w:rsid w:val="004B165C"/>
    <w:rsid w:val="004B52E3"/>
    <w:rsid w:val="004B6FE6"/>
    <w:rsid w:val="004B7C7E"/>
    <w:rsid w:val="004C06C7"/>
    <w:rsid w:val="004C2BD8"/>
    <w:rsid w:val="004C4E9C"/>
    <w:rsid w:val="004E12E5"/>
    <w:rsid w:val="004E1CA1"/>
    <w:rsid w:val="004E369D"/>
    <w:rsid w:val="004E5B24"/>
    <w:rsid w:val="004E70B3"/>
    <w:rsid w:val="004F2B4B"/>
    <w:rsid w:val="00521D0E"/>
    <w:rsid w:val="00523FA9"/>
    <w:rsid w:val="0052672A"/>
    <w:rsid w:val="00526A9D"/>
    <w:rsid w:val="00527AD2"/>
    <w:rsid w:val="005307FE"/>
    <w:rsid w:val="00536859"/>
    <w:rsid w:val="00536896"/>
    <w:rsid w:val="005370A9"/>
    <w:rsid w:val="00540272"/>
    <w:rsid w:val="00545820"/>
    <w:rsid w:val="00545B5C"/>
    <w:rsid w:val="00547D1A"/>
    <w:rsid w:val="005552BB"/>
    <w:rsid w:val="00560FD1"/>
    <w:rsid w:val="0056628A"/>
    <w:rsid w:val="00566EF2"/>
    <w:rsid w:val="00571B04"/>
    <w:rsid w:val="00575881"/>
    <w:rsid w:val="005779FF"/>
    <w:rsid w:val="00577FE8"/>
    <w:rsid w:val="00582C2D"/>
    <w:rsid w:val="005831C4"/>
    <w:rsid w:val="00583567"/>
    <w:rsid w:val="005917DD"/>
    <w:rsid w:val="005936F7"/>
    <w:rsid w:val="00594076"/>
    <w:rsid w:val="00595F14"/>
    <w:rsid w:val="005A0209"/>
    <w:rsid w:val="005A79B2"/>
    <w:rsid w:val="005B1111"/>
    <w:rsid w:val="005B3C36"/>
    <w:rsid w:val="005C6BBB"/>
    <w:rsid w:val="005D06BB"/>
    <w:rsid w:val="005D0EE5"/>
    <w:rsid w:val="005D1E98"/>
    <w:rsid w:val="005D303E"/>
    <w:rsid w:val="005D71EC"/>
    <w:rsid w:val="005D73BE"/>
    <w:rsid w:val="005E077A"/>
    <w:rsid w:val="005E2D3A"/>
    <w:rsid w:val="005E3F72"/>
    <w:rsid w:val="005F0448"/>
    <w:rsid w:val="005F5A0E"/>
    <w:rsid w:val="005F6648"/>
    <w:rsid w:val="005F6A25"/>
    <w:rsid w:val="00603C66"/>
    <w:rsid w:val="00606E06"/>
    <w:rsid w:val="00610093"/>
    <w:rsid w:val="00610DC4"/>
    <w:rsid w:val="0062321F"/>
    <w:rsid w:val="0063147A"/>
    <w:rsid w:val="00635A95"/>
    <w:rsid w:val="00635AFE"/>
    <w:rsid w:val="00635B09"/>
    <w:rsid w:val="00651E79"/>
    <w:rsid w:val="006529F4"/>
    <w:rsid w:val="006574AB"/>
    <w:rsid w:val="006632C7"/>
    <w:rsid w:val="006766AF"/>
    <w:rsid w:val="00681D86"/>
    <w:rsid w:val="00684153"/>
    <w:rsid w:val="00690A98"/>
    <w:rsid w:val="00692978"/>
    <w:rsid w:val="00693E3A"/>
    <w:rsid w:val="006A2861"/>
    <w:rsid w:val="006A50CB"/>
    <w:rsid w:val="006A5E6C"/>
    <w:rsid w:val="006A75AA"/>
    <w:rsid w:val="006B1AB4"/>
    <w:rsid w:val="006B2992"/>
    <w:rsid w:val="006C5669"/>
    <w:rsid w:val="006D0CE6"/>
    <w:rsid w:val="006D31B8"/>
    <w:rsid w:val="006D4593"/>
    <w:rsid w:val="006D5CD5"/>
    <w:rsid w:val="006D6CAF"/>
    <w:rsid w:val="006E20F1"/>
    <w:rsid w:val="006E224D"/>
    <w:rsid w:val="006E2791"/>
    <w:rsid w:val="006E44F9"/>
    <w:rsid w:val="006E45E8"/>
    <w:rsid w:val="006E6CC0"/>
    <w:rsid w:val="006E71E1"/>
    <w:rsid w:val="006F7E03"/>
    <w:rsid w:val="00701BAC"/>
    <w:rsid w:val="00701E67"/>
    <w:rsid w:val="00710BC8"/>
    <w:rsid w:val="00714957"/>
    <w:rsid w:val="00722D1A"/>
    <w:rsid w:val="00723A6F"/>
    <w:rsid w:val="0072652C"/>
    <w:rsid w:val="007469FF"/>
    <w:rsid w:val="007527A2"/>
    <w:rsid w:val="00752CC0"/>
    <w:rsid w:val="00753D90"/>
    <w:rsid w:val="007805A8"/>
    <w:rsid w:val="00783575"/>
    <w:rsid w:val="00783F99"/>
    <w:rsid w:val="007908B3"/>
    <w:rsid w:val="0079556C"/>
    <w:rsid w:val="007A0E4F"/>
    <w:rsid w:val="007A0F45"/>
    <w:rsid w:val="007B1999"/>
    <w:rsid w:val="007B1AD3"/>
    <w:rsid w:val="007B60A0"/>
    <w:rsid w:val="007B63AA"/>
    <w:rsid w:val="007C1E22"/>
    <w:rsid w:val="007D55E5"/>
    <w:rsid w:val="007E1CF5"/>
    <w:rsid w:val="007F2420"/>
    <w:rsid w:val="007F6A43"/>
    <w:rsid w:val="00810793"/>
    <w:rsid w:val="008109DC"/>
    <w:rsid w:val="008156B3"/>
    <w:rsid w:val="0081716C"/>
    <w:rsid w:val="00820DB7"/>
    <w:rsid w:val="0082251F"/>
    <w:rsid w:val="00827600"/>
    <w:rsid w:val="00833609"/>
    <w:rsid w:val="00841B0C"/>
    <w:rsid w:val="0084323D"/>
    <w:rsid w:val="00856ED5"/>
    <w:rsid w:val="00864146"/>
    <w:rsid w:val="00865D9A"/>
    <w:rsid w:val="00866F15"/>
    <w:rsid w:val="00870D3C"/>
    <w:rsid w:val="00877803"/>
    <w:rsid w:val="008807CD"/>
    <w:rsid w:val="00885EB5"/>
    <w:rsid w:val="00887066"/>
    <w:rsid w:val="008879D3"/>
    <w:rsid w:val="008941C8"/>
    <w:rsid w:val="00897119"/>
    <w:rsid w:val="008974FA"/>
    <w:rsid w:val="008A04CB"/>
    <w:rsid w:val="008A346E"/>
    <w:rsid w:val="008A59A3"/>
    <w:rsid w:val="008A645D"/>
    <w:rsid w:val="008B333A"/>
    <w:rsid w:val="008B5735"/>
    <w:rsid w:val="008C4D6E"/>
    <w:rsid w:val="008C769F"/>
    <w:rsid w:val="008D3C52"/>
    <w:rsid w:val="008D4973"/>
    <w:rsid w:val="008D553A"/>
    <w:rsid w:val="008D74BA"/>
    <w:rsid w:val="008E0589"/>
    <w:rsid w:val="00905A48"/>
    <w:rsid w:val="009070C7"/>
    <w:rsid w:val="00911459"/>
    <w:rsid w:val="00914786"/>
    <w:rsid w:val="00915395"/>
    <w:rsid w:val="00915A74"/>
    <w:rsid w:val="00917196"/>
    <w:rsid w:val="0091746D"/>
    <w:rsid w:val="009230D9"/>
    <w:rsid w:val="00923A6B"/>
    <w:rsid w:val="00927EBF"/>
    <w:rsid w:val="00933ADB"/>
    <w:rsid w:val="00933EFE"/>
    <w:rsid w:val="0093604D"/>
    <w:rsid w:val="00936A55"/>
    <w:rsid w:val="009439E7"/>
    <w:rsid w:val="009451D1"/>
    <w:rsid w:val="009459E9"/>
    <w:rsid w:val="00946336"/>
    <w:rsid w:val="00953F01"/>
    <w:rsid w:val="00955A33"/>
    <w:rsid w:val="00957475"/>
    <w:rsid w:val="0096007C"/>
    <w:rsid w:val="0096033D"/>
    <w:rsid w:val="009647E5"/>
    <w:rsid w:val="00982345"/>
    <w:rsid w:val="0098337E"/>
    <w:rsid w:val="00992DFC"/>
    <w:rsid w:val="00994690"/>
    <w:rsid w:val="009C2C18"/>
    <w:rsid w:val="009D1CD5"/>
    <w:rsid w:val="009D794B"/>
    <w:rsid w:val="009E3CE8"/>
    <w:rsid w:val="009E6CC8"/>
    <w:rsid w:val="009E71FC"/>
    <w:rsid w:val="009E7C77"/>
    <w:rsid w:val="009F4957"/>
    <w:rsid w:val="00A02215"/>
    <w:rsid w:val="00A028EF"/>
    <w:rsid w:val="00A03C21"/>
    <w:rsid w:val="00A07A49"/>
    <w:rsid w:val="00A1002E"/>
    <w:rsid w:val="00A15C43"/>
    <w:rsid w:val="00A17475"/>
    <w:rsid w:val="00A31BAB"/>
    <w:rsid w:val="00A37A09"/>
    <w:rsid w:val="00A4532C"/>
    <w:rsid w:val="00A518EC"/>
    <w:rsid w:val="00A53EDE"/>
    <w:rsid w:val="00A65C34"/>
    <w:rsid w:val="00A74074"/>
    <w:rsid w:val="00A7552E"/>
    <w:rsid w:val="00A76B64"/>
    <w:rsid w:val="00A922DD"/>
    <w:rsid w:val="00A93332"/>
    <w:rsid w:val="00A96CBB"/>
    <w:rsid w:val="00A97476"/>
    <w:rsid w:val="00AA10AB"/>
    <w:rsid w:val="00AA3292"/>
    <w:rsid w:val="00AA5627"/>
    <w:rsid w:val="00AA64F3"/>
    <w:rsid w:val="00AB170E"/>
    <w:rsid w:val="00AC33B1"/>
    <w:rsid w:val="00AD0619"/>
    <w:rsid w:val="00AD1A37"/>
    <w:rsid w:val="00AD219C"/>
    <w:rsid w:val="00AD687A"/>
    <w:rsid w:val="00AE23C3"/>
    <w:rsid w:val="00AF471E"/>
    <w:rsid w:val="00B01F72"/>
    <w:rsid w:val="00B06834"/>
    <w:rsid w:val="00B07217"/>
    <w:rsid w:val="00B076BD"/>
    <w:rsid w:val="00B101A3"/>
    <w:rsid w:val="00B11D51"/>
    <w:rsid w:val="00B15096"/>
    <w:rsid w:val="00B16C42"/>
    <w:rsid w:val="00B26F34"/>
    <w:rsid w:val="00B333A4"/>
    <w:rsid w:val="00B34EF1"/>
    <w:rsid w:val="00B3577D"/>
    <w:rsid w:val="00B3650D"/>
    <w:rsid w:val="00B36790"/>
    <w:rsid w:val="00B42FC7"/>
    <w:rsid w:val="00B50D58"/>
    <w:rsid w:val="00B520CC"/>
    <w:rsid w:val="00B532B9"/>
    <w:rsid w:val="00B537FB"/>
    <w:rsid w:val="00B55180"/>
    <w:rsid w:val="00B56572"/>
    <w:rsid w:val="00B61FF8"/>
    <w:rsid w:val="00B647BB"/>
    <w:rsid w:val="00B65850"/>
    <w:rsid w:val="00B724A2"/>
    <w:rsid w:val="00B73C20"/>
    <w:rsid w:val="00B75347"/>
    <w:rsid w:val="00B7769B"/>
    <w:rsid w:val="00B7796D"/>
    <w:rsid w:val="00B77EAE"/>
    <w:rsid w:val="00B80F7D"/>
    <w:rsid w:val="00B93DF1"/>
    <w:rsid w:val="00B95E84"/>
    <w:rsid w:val="00BB139D"/>
    <w:rsid w:val="00BB18B8"/>
    <w:rsid w:val="00BB4F0F"/>
    <w:rsid w:val="00BB546D"/>
    <w:rsid w:val="00BB556E"/>
    <w:rsid w:val="00BC2C90"/>
    <w:rsid w:val="00BD4760"/>
    <w:rsid w:val="00BD5036"/>
    <w:rsid w:val="00BE7FB3"/>
    <w:rsid w:val="00BF0518"/>
    <w:rsid w:val="00BF126F"/>
    <w:rsid w:val="00BF5FF3"/>
    <w:rsid w:val="00C00C4A"/>
    <w:rsid w:val="00C02117"/>
    <w:rsid w:val="00C078B7"/>
    <w:rsid w:val="00C24DE4"/>
    <w:rsid w:val="00C30B32"/>
    <w:rsid w:val="00C3121A"/>
    <w:rsid w:val="00C327F4"/>
    <w:rsid w:val="00C35FB8"/>
    <w:rsid w:val="00C4288A"/>
    <w:rsid w:val="00C42C56"/>
    <w:rsid w:val="00C44F9E"/>
    <w:rsid w:val="00C469A0"/>
    <w:rsid w:val="00C46C63"/>
    <w:rsid w:val="00C47613"/>
    <w:rsid w:val="00C50D72"/>
    <w:rsid w:val="00C51647"/>
    <w:rsid w:val="00C55644"/>
    <w:rsid w:val="00C55CBD"/>
    <w:rsid w:val="00C6695C"/>
    <w:rsid w:val="00C66ABA"/>
    <w:rsid w:val="00C70FE9"/>
    <w:rsid w:val="00C80F78"/>
    <w:rsid w:val="00C8215F"/>
    <w:rsid w:val="00C84D5F"/>
    <w:rsid w:val="00C92120"/>
    <w:rsid w:val="00C97ADB"/>
    <w:rsid w:val="00CA0AEE"/>
    <w:rsid w:val="00CA73CB"/>
    <w:rsid w:val="00CB3910"/>
    <w:rsid w:val="00CC5BF4"/>
    <w:rsid w:val="00CD4B4A"/>
    <w:rsid w:val="00CD5145"/>
    <w:rsid w:val="00CE38A3"/>
    <w:rsid w:val="00CE46A0"/>
    <w:rsid w:val="00CE57E8"/>
    <w:rsid w:val="00CE7915"/>
    <w:rsid w:val="00CF0D35"/>
    <w:rsid w:val="00CF2C1A"/>
    <w:rsid w:val="00D07979"/>
    <w:rsid w:val="00D105CD"/>
    <w:rsid w:val="00D22AE1"/>
    <w:rsid w:val="00D27845"/>
    <w:rsid w:val="00D318CE"/>
    <w:rsid w:val="00D33C1C"/>
    <w:rsid w:val="00D35B58"/>
    <w:rsid w:val="00D37738"/>
    <w:rsid w:val="00D40C59"/>
    <w:rsid w:val="00D42975"/>
    <w:rsid w:val="00D42D5B"/>
    <w:rsid w:val="00D44C3E"/>
    <w:rsid w:val="00D4524D"/>
    <w:rsid w:val="00D47F91"/>
    <w:rsid w:val="00D53997"/>
    <w:rsid w:val="00D54023"/>
    <w:rsid w:val="00D579E0"/>
    <w:rsid w:val="00D62433"/>
    <w:rsid w:val="00D663C1"/>
    <w:rsid w:val="00D66485"/>
    <w:rsid w:val="00D674E8"/>
    <w:rsid w:val="00D712D0"/>
    <w:rsid w:val="00D74AC5"/>
    <w:rsid w:val="00D77EB0"/>
    <w:rsid w:val="00D800FE"/>
    <w:rsid w:val="00D839B1"/>
    <w:rsid w:val="00D85130"/>
    <w:rsid w:val="00D86F9D"/>
    <w:rsid w:val="00D91523"/>
    <w:rsid w:val="00DA242C"/>
    <w:rsid w:val="00DA7D9F"/>
    <w:rsid w:val="00DB7626"/>
    <w:rsid w:val="00DC142C"/>
    <w:rsid w:val="00DC6042"/>
    <w:rsid w:val="00DD3A93"/>
    <w:rsid w:val="00DD4D49"/>
    <w:rsid w:val="00DE298F"/>
    <w:rsid w:val="00DE317B"/>
    <w:rsid w:val="00DE3FB8"/>
    <w:rsid w:val="00DE4D58"/>
    <w:rsid w:val="00DE68A6"/>
    <w:rsid w:val="00DF177B"/>
    <w:rsid w:val="00DF400B"/>
    <w:rsid w:val="00DF4FBC"/>
    <w:rsid w:val="00E0675D"/>
    <w:rsid w:val="00E2157B"/>
    <w:rsid w:val="00E21A20"/>
    <w:rsid w:val="00E22B5B"/>
    <w:rsid w:val="00E240FD"/>
    <w:rsid w:val="00E2555E"/>
    <w:rsid w:val="00E2695C"/>
    <w:rsid w:val="00E34E38"/>
    <w:rsid w:val="00E35618"/>
    <w:rsid w:val="00E41A6C"/>
    <w:rsid w:val="00E511A6"/>
    <w:rsid w:val="00E528D2"/>
    <w:rsid w:val="00E551C1"/>
    <w:rsid w:val="00E55F4E"/>
    <w:rsid w:val="00E6322A"/>
    <w:rsid w:val="00E63D27"/>
    <w:rsid w:val="00E65B38"/>
    <w:rsid w:val="00E65CB6"/>
    <w:rsid w:val="00E65DF6"/>
    <w:rsid w:val="00E66850"/>
    <w:rsid w:val="00E670EB"/>
    <w:rsid w:val="00E67816"/>
    <w:rsid w:val="00E72FDA"/>
    <w:rsid w:val="00E73CC3"/>
    <w:rsid w:val="00E760A2"/>
    <w:rsid w:val="00E81705"/>
    <w:rsid w:val="00E82944"/>
    <w:rsid w:val="00E928D3"/>
    <w:rsid w:val="00E94651"/>
    <w:rsid w:val="00E964A8"/>
    <w:rsid w:val="00EA4E09"/>
    <w:rsid w:val="00EA5271"/>
    <w:rsid w:val="00EB1730"/>
    <w:rsid w:val="00EC5B01"/>
    <w:rsid w:val="00ED2E82"/>
    <w:rsid w:val="00EE4DE5"/>
    <w:rsid w:val="00EF32CD"/>
    <w:rsid w:val="00EF33CB"/>
    <w:rsid w:val="00EF3794"/>
    <w:rsid w:val="00EF438E"/>
    <w:rsid w:val="00EF507F"/>
    <w:rsid w:val="00EF5638"/>
    <w:rsid w:val="00F00FCF"/>
    <w:rsid w:val="00F07DCD"/>
    <w:rsid w:val="00F130CC"/>
    <w:rsid w:val="00F13C3B"/>
    <w:rsid w:val="00F14DFA"/>
    <w:rsid w:val="00F1682B"/>
    <w:rsid w:val="00F1721B"/>
    <w:rsid w:val="00F2052A"/>
    <w:rsid w:val="00F256E1"/>
    <w:rsid w:val="00F26612"/>
    <w:rsid w:val="00F328CD"/>
    <w:rsid w:val="00F32C49"/>
    <w:rsid w:val="00F3500B"/>
    <w:rsid w:val="00F352FA"/>
    <w:rsid w:val="00F57240"/>
    <w:rsid w:val="00F60A56"/>
    <w:rsid w:val="00F62137"/>
    <w:rsid w:val="00F658EC"/>
    <w:rsid w:val="00F67A06"/>
    <w:rsid w:val="00F7341D"/>
    <w:rsid w:val="00F7488E"/>
    <w:rsid w:val="00F749D1"/>
    <w:rsid w:val="00F74A48"/>
    <w:rsid w:val="00F74B1A"/>
    <w:rsid w:val="00F753CB"/>
    <w:rsid w:val="00F84384"/>
    <w:rsid w:val="00F91733"/>
    <w:rsid w:val="00FA0452"/>
    <w:rsid w:val="00FA3DBF"/>
    <w:rsid w:val="00FA5B10"/>
    <w:rsid w:val="00FA5CC0"/>
    <w:rsid w:val="00FB35CB"/>
    <w:rsid w:val="00FC2089"/>
    <w:rsid w:val="00FC2175"/>
    <w:rsid w:val="00FC2ECE"/>
    <w:rsid w:val="00FC3D64"/>
    <w:rsid w:val="00FC3DCF"/>
    <w:rsid w:val="00FC7BFB"/>
    <w:rsid w:val="00FD1157"/>
    <w:rsid w:val="00FE0117"/>
    <w:rsid w:val="00FE1152"/>
    <w:rsid w:val="00FE3F4D"/>
    <w:rsid w:val="00FE6908"/>
  </w:rsids>
  <m:mathPr>
    <m:mathFont m:val="SimSun"/>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0" w:defSemiHidden="0" w:defUnhideWhenUsed="0" w:defQFormat="0" w:count="276">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yperlink" w:uiPriority="99"/>
    <w:lsdException w:name="List Paragraph" w:uiPriority="34" w:qFormat="1"/>
  </w:latentStyles>
  <w:style w:type="paragraph" w:default="1" w:styleId="Normal">
    <w:name w:val="Normal"/>
    <w:qFormat/>
    <w:rsid w:val="00545B5C"/>
    <w:pPr>
      <w:spacing w:after="240" w:line="240" w:lineRule="auto"/>
      <w:jc w:val="both"/>
    </w:pPr>
    <w:rPr>
      <w:rFonts w:ascii="Arial" w:eastAsia="Times New Roman" w:hAnsi="Arial" w:cs="Times New Roman"/>
      <w:szCs w:val="24"/>
      <w:lang w:val="en-GB" w:eastAsia="it-IT"/>
    </w:rPr>
  </w:style>
  <w:style w:type="paragraph" w:styleId="Heading1">
    <w:name w:val="heading 1"/>
    <w:basedOn w:val="Normal"/>
    <w:next w:val="Normal"/>
    <w:link w:val="Heading1Char"/>
    <w:autoRedefine/>
    <w:qFormat/>
    <w:rsid w:val="003E2CFE"/>
    <w:pPr>
      <w:keepNext/>
      <w:spacing w:before="360" w:after="120"/>
      <w:ind w:left="432"/>
      <w:outlineLvl w:val="0"/>
    </w:pPr>
    <w:rPr>
      <w:b/>
      <w:caps/>
      <w:color w:val="FF0000"/>
      <w:kern w:val="32"/>
    </w:rPr>
  </w:style>
  <w:style w:type="paragraph" w:styleId="Heading2">
    <w:name w:val="heading 2"/>
    <w:basedOn w:val="Normal"/>
    <w:next w:val="Normal"/>
    <w:link w:val="Heading2Char"/>
    <w:autoRedefine/>
    <w:qFormat/>
    <w:rsid w:val="00024A5E"/>
    <w:pPr>
      <w:keepNext/>
      <w:spacing w:before="240" w:after="120" w:line="276" w:lineRule="auto"/>
      <w:jc w:val="left"/>
      <w:outlineLvl w:val="1"/>
    </w:pPr>
    <w:rPr>
      <w:rFonts w:cs="Arial"/>
      <w:b/>
      <w:lang w:val="it-IT"/>
    </w:rPr>
  </w:style>
  <w:style w:type="paragraph" w:styleId="Heading3">
    <w:name w:val="heading 3"/>
    <w:basedOn w:val="Normal"/>
    <w:next w:val="Normal"/>
    <w:link w:val="Heading3Char"/>
    <w:autoRedefine/>
    <w:qFormat/>
    <w:rsid w:val="00865D9A"/>
    <w:pPr>
      <w:keepNext/>
      <w:numPr>
        <w:ilvl w:val="2"/>
        <w:numId w:val="1"/>
      </w:numPr>
      <w:spacing w:before="240" w:after="120"/>
      <w:ind w:left="0" w:firstLine="0"/>
      <w:outlineLvl w:val="2"/>
    </w:pPr>
    <w:rPr>
      <w:b/>
      <w:bCs/>
      <w:caps/>
      <w:lang w:val="en-US"/>
    </w:rPr>
  </w:style>
  <w:style w:type="paragraph" w:styleId="Heading4">
    <w:name w:val="heading 4"/>
    <w:basedOn w:val="Normal"/>
    <w:next w:val="Normal"/>
    <w:link w:val="Heading4Char"/>
    <w:autoRedefine/>
    <w:qFormat/>
    <w:rsid w:val="00865D9A"/>
    <w:pPr>
      <w:keepNext/>
      <w:numPr>
        <w:ilvl w:val="3"/>
        <w:numId w:val="1"/>
      </w:numPr>
      <w:spacing w:before="240" w:after="120"/>
      <w:outlineLvl w:val="3"/>
    </w:pPr>
    <w:rPr>
      <w:rFonts w:cs="Arial"/>
      <w:b/>
    </w:rPr>
  </w:style>
  <w:style w:type="paragraph" w:styleId="Heading5">
    <w:name w:val="heading 5"/>
    <w:basedOn w:val="Normal"/>
    <w:next w:val="Normal"/>
    <w:link w:val="Heading5Char"/>
    <w:qFormat/>
    <w:rsid w:val="00865D9A"/>
    <w:pPr>
      <w:numPr>
        <w:ilvl w:val="4"/>
        <w:numId w:val="1"/>
      </w:numPr>
      <w:spacing w:before="240" w:after="60"/>
      <w:outlineLvl w:val="4"/>
    </w:pPr>
  </w:style>
  <w:style w:type="paragraph" w:styleId="Heading6">
    <w:name w:val="heading 6"/>
    <w:basedOn w:val="Normal"/>
    <w:next w:val="Normal"/>
    <w:link w:val="Heading6Char"/>
    <w:qFormat/>
    <w:rsid w:val="00865D9A"/>
    <w:pPr>
      <w:numPr>
        <w:ilvl w:val="5"/>
        <w:numId w:val="1"/>
      </w:numPr>
      <w:spacing w:before="240" w:after="60"/>
      <w:outlineLvl w:val="5"/>
    </w:pPr>
    <w:rPr>
      <w:i/>
    </w:rPr>
  </w:style>
  <w:style w:type="paragraph" w:styleId="Heading7">
    <w:name w:val="heading 7"/>
    <w:basedOn w:val="Normal"/>
    <w:next w:val="Normal"/>
    <w:link w:val="Heading7Char"/>
    <w:qFormat/>
    <w:rsid w:val="00865D9A"/>
    <w:pPr>
      <w:numPr>
        <w:ilvl w:val="6"/>
        <w:numId w:val="1"/>
      </w:numPr>
      <w:spacing w:before="240" w:after="60"/>
      <w:outlineLvl w:val="6"/>
    </w:pPr>
    <w:rPr>
      <w:sz w:val="20"/>
    </w:rPr>
  </w:style>
  <w:style w:type="paragraph" w:styleId="Heading8">
    <w:name w:val="heading 8"/>
    <w:basedOn w:val="Normal"/>
    <w:next w:val="Normal"/>
    <w:link w:val="Heading8Char"/>
    <w:qFormat/>
    <w:rsid w:val="00865D9A"/>
    <w:pPr>
      <w:numPr>
        <w:ilvl w:val="7"/>
        <w:numId w:val="1"/>
      </w:numPr>
      <w:spacing w:before="240" w:after="60"/>
      <w:outlineLvl w:val="7"/>
    </w:pPr>
    <w:rPr>
      <w:i/>
      <w:sz w:val="20"/>
    </w:rPr>
  </w:style>
  <w:style w:type="paragraph" w:styleId="Heading9">
    <w:name w:val="heading 9"/>
    <w:basedOn w:val="Normal"/>
    <w:next w:val="Normal"/>
    <w:link w:val="Heading9Char"/>
    <w:qFormat/>
    <w:rsid w:val="00865D9A"/>
    <w:pPr>
      <w:numPr>
        <w:ilvl w:val="8"/>
        <w:numId w:val="1"/>
      </w:numPr>
      <w:spacing w:before="240" w:after="60"/>
      <w:outlineLvl w:val="8"/>
    </w:pPr>
    <w:rPr>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3E2CFE"/>
    <w:rPr>
      <w:rFonts w:ascii="Arial" w:eastAsia="Times New Roman" w:hAnsi="Arial" w:cs="Times New Roman"/>
      <w:b/>
      <w:caps/>
      <w:color w:val="FF0000"/>
      <w:kern w:val="32"/>
      <w:sz w:val="24"/>
      <w:szCs w:val="24"/>
      <w:lang w:val="en-GB" w:eastAsia="it-IT"/>
    </w:rPr>
  </w:style>
  <w:style w:type="character" w:customStyle="1" w:styleId="Heading2Char">
    <w:name w:val="Heading 2 Char"/>
    <w:basedOn w:val="DefaultParagraphFont"/>
    <w:link w:val="Heading2"/>
    <w:rsid w:val="00024A5E"/>
    <w:rPr>
      <w:rFonts w:ascii="Arial" w:eastAsia="Times New Roman" w:hAnsi="Arial" w:cs="Arial"/>
      <w:b/>
      <w:sz w:val="24"/>
      <w:szCs w:val="24"/>
      <w:lang w:val="it-IT" w:eastAsia="it-IT"/>
    </w:rPr>
  </w:style>
  <w:style w:type="character" w:customStyle="1" w:styleId="Heading3Char">
    <w:name w:val="Heading 3 Char"/>
    <w:basedOn w:val="DefaultParagraphFont"/>
    <w:link w:val="Heading3"/>
    <w:rsid w:val="00865D9A"/>
    <w:rPr>
      <w:rFonts w:ascii="Arial" w:eastAsia="Times New Roman" w:hAnsi="Arial" w:cs="Times New Roman"/>
      <w:b/>
      <w:bCs/>
      <w:caps/>
      <w:szCs w:val="24"/>
      <w:lang w:val="en-US" w:eastAsia="it-IT"/>
    </w:rPr>
  </w:style>
  <w:style w:type="character" w:customStyle="1" w:styleId="Heading4Char">
    <w:name w:val="Heading 4 Char"/>
    <w:basedOn w:val="DefaultParagraphFont"/>
    <w:link w:val="Heading4"/>
    <w:rsid w:val="00865D9A"/>
    <w:rPr>
      <w:rFonts w:ascii="Arial" w:eastAsia="Times New Roman" w:hAnsi="Arial" w:cs="Arial"/>
      <w:b/>
      <w:sz w:val="24"/>
      <w:szCs w:val="24"/>
      <w:lang w:val="en-GB" w:eastAsia="it-IT"/>
    </w:rPr>
  </w:style>
  <w:style w:type="character" w:customStyle="1" w:styleId="Heading5Char">
    <w:name w:val="Heading 5 Char"/>
    <w:basedOn w:val="DefaultParagraphFont"/>
    <w:link w:val="Heading5"/>
    <w:rsid w:val="00865D9A"/>
    <w:rPr>
      <w:rFonts w:ascii="Times New Roman" w:eastAsia="Times New Roman" w:hAnsi="Times New Roman" w:cs="Times New Roman"/>
      <w:szCs w:val="24"/>
      <w:lang w:val="en-GB" w:eastAsia="it-IT"/>
    </w:rPr>
  </w:style>
  <w:style w:type="character" w:customStyle="1" w:styleId="Heading6Char">
    <w:name w:val="Heading 6 Char"/>
    <w:basedOn w:val="DefaultParagraphFont"/>
    <w:link w:val="Heading6"/>
    <w:rsid w:val="00865D9A"/>
    <w:rPr>
      <w:rFonts w:ascii="Times New Roman" w:eastAsia="Times New Roman" w:hAnsi="Times New Roman" w:cs="Times New Roman"/>
      <w:i/>
      <w:szCs w:val="24"/>
      <w:lang w:val="en-GB" w:eastAsia="it-IT"/>
    </w:rPr>
  </w:style>
  <w:style w:type="character" w:customStyle="1" w:styleId="Heading7Char">
    <w:name w:val="Heading 7 Char"/>
    <w:basedOn w:val="DefaultParagraphFont"/>
    <w:link w:val="Heading7"/>
    <w:rsid w:val="00865D9A"/>
    <w:rPr>
      <w:rFonts w:ascii="Arial" w:eastAsia="Times New Roman" w:hAnsi="Arial" w:cs="Times New Roman"/>
      <w:sz w:val="20"/>
      <w:szCs w:val="24"/>
      <w:lang w:val="en-GB" w:eastAsia="it-IT"/>
    </w:rPr>
  </w:style>
  <w:style w:type="character" w:customStyle="1" w:styleId="Heading8Char">
    <w:name w:val="Heading 8 Char"/>
    <w:basedOn w:val="DefaultParagraphFont"/>
    <w:link w:val="Heading8"/>
    <w:rsid w:val="00865D9A"/>
    <w:rPr>
      <w:rFonts w:ascii="Arial" w:eastAsia="Times New Roman" w:hAnsi="Arial" w:cs="Times New Roman"/>
      <w:i/>
      <w:sz w:val="20"/>
      <w:szCs w:val="24"/>
      <w:lang w:val="en-GB" w:eastAsia="it-IT"/>
    </w:rPr>
  </w:style>
  <w:style w:type="character" w:customStyle="1" w:styleId="Heading9Char">
    <w:name w:val="Heading 9 Char"/>
    <w:basedOn w:val="DefaultParagraphFont"/>
    <w:link w:val="Heading9"/>
    <w:rsid w:val="00865D9A"/>
    <w:rPr>
      <w:rFonts w:ascii="Arial" w:eastAsia="Times New Roman" w:hAnsi="Arial" w:cs="Times New Roman"/>
      <w:b/>
      <w:i/>
      <w:sz w:val="18"/>
      <w:szCs w:val="24"/>
      <w:lang w:val="en-GB" w:eastAsia="it-IT"/>
    </w:rPr>
  </w:style>
  <w:style w:type="character" w:styleId="Hyperlink">
    <w:name w:val="Hyperlink"/>
    <w:basedOn w:val="DefaultParagraphFont"/>
    <w:uiPriority w:val="99"/>
    <w:rsid w:val="00865D9A"/>
    <w:rPr>
      <w:color w:val="0000FF"/>
      <w:u w:val="single"/>
    </w:rPr>
  </w:style>
  <w:style w:type="paragraph" w:styleId="Title">
    <w:name w:val="Title"/>
    <w:basedOn w:val="Normal"/>
    <w:link w:val="TitleChar"/>
    <w:qFormat/>
    <w:rsid w:val="00865D9A"/>
    <w:rPr>
      <w:rFonts w:cs="Arial"/>
      <w:sz w:val="28"/>
    </w:rPr>
  </w:style>
  <w:style w:type="character" w:customStyle="1" w:styleId="TitleChar">
    <w:name w:val="Title Char"/>
    <w:basedOn w:val="DefaultParagraphFont"/>
    <w:link w:val="Title"/>
    <w:rsid w:val="00865D9A"/>
    <w:rPr>
      <w:rFonts w:ascii="Arial" w:eastAsia="Times New Roman" w:hAnsi="Arial" w:cs="Arial"/>
      <w:sz w:val="28"/>
      <w:szCs w:val="24"/>
      <w:lang w:val="en-GB" w:eastAsia="it-IT"/>
    </w:rPr>
  </w:style>
  <w:style w:type="paragraph" w:styleId="TOC1">
    <w:name w:val="toc 1"/>
    <w:basedOn w:val="Normal"/>
    <w:next w:val="Normal"/>
    <w:autoRedefine/>
    <w:uiPriority w:val="39"/>
    <w:rsid w:val="00865D9A"/>
    <w:pPr>
      <w:spacing w:before="120" w:after="0"/>
      <w:jc w:val="left"/>
    </w:pPr>
    <w:rPr>
      <w:rFonts w:asciiTheme="minorHAnsi" w:hAnsiTheme="minorHAnsi"/>
      <w:b/>
      <w:caps/>
      <w:szCs w:val="22"/>
    </w:rPr>
  </w:style>
  <w:style w:type="paragraph" w:styleId="BalloonText">
    <w:name w:val="Balloon Text"/>
    <w:basedOn w:val="Normal"/>
    <w:link w:val="BalloonTextChar"/>
    <w:uiPriority w:val="99"/>
    <w:semiHidden/>
    <w:unhideWhenUsed/>
    <w:rsid w:val="00865D9A"/>
    <w:rPr>
      <w:rFonts w:ascii="Tahoma" w:hAnsi="Tahoma" w:cs="Tahoma"/>
      <w:sz w:val="16"/>
      <w:szCs w:val="16"/>
    </w:rPr>
  </w:style>
  <w:style w:type="character" w:customStyle="1" w:styleId="BalloonTextChar">
    <w:name w:val="Balloon Text Char"/>
    <w:basedOn w:val="DefaultParagraphFont"/>
    <w:link w:val="BalloonText"/>
    <w:uiPriority w:val="99"/>
    <w:semiHidden/>
    <w:rsid w:val="00865D9A"/>
    <w:rPr>
      <w:rFonts w:ascii="Tahoma" w:eastAsia="Times New Roman" w:hAnsi="Tahoma" w:cs="Tahoma"/>
      <w:sz w:val="16"/>
      <w:szCs w:val="16"/>
      <w:lang w:val="en-GB" w:eastAsia="it-IT"/>
    </w:rPr>
  </w:style>
  <w:style w:type="character" w:styleId="CommentReference">
    <w:name w:val="annotation reference"/>
    <w:basedOn w:val="DefaultParagraphFont"/>
    <w:uiPriority w:val="99"/>
    <w:semiHidden/>
    <w:rsid w:val="00142BDA"/>
    <w:rPr>
      <w:rFonts w:cs="Times New Roman"/>
      <w:sz w:val="16"/>
      <w:szCs w:val="16"/>
    </w:rPr>
  </w:style>
  <w:style w:type="paragraph" w:styleId="CommentText">
    <w:name w:val="annotation text"/>
    <w:basedOn w:val="Normal"/>
    <w:link w:val="CommentTextChar"/>
    <w:uiPriority w:val="99"/>
    <w:semiHidden/>
    <w:rsid w:val="00142BDA"/>
    <w:pPr>
      <w:spacing w:after="200" w:line="276" w:lineRule="auto"/>
      <w:jc w:val="left"/>
    </w:pPr>
    <w:rPr>
      <w:rFonts w:ascii="Calibri" w:eastAsia="Calibri" w:hAnsi="Calibri"/>
      <w:sz w:val="20"/>
      <w:szCs w:val="20"/>
      <w:lang w:eastAsia="en-US"/>
    </w:rPr>
  </w:style>
  <w:style w:type="character" w:customStyle="1" w:styleId="CommentTextChar">
    <w:name w:val="Comment Text Char"/>
    <w:basedOn w:val="DefaultParagraphFont"/>
    <w:link w:val="CommentText"/>
    <w:uiPriority w:val="99"/>
    <w:semiHidden/>
    <w:rsid w:val="00142BDA"/>
    <w:rPr>
      <w:rFonts w:ascii="Calibri" w:eastAsia="Calibri" w:hAnsi="Calibri" w:cs="Times New Roman"/>
      <w:sz w:val="20"/>
      <w:szCs w:val="20"/>
      <w:lang w:val="en-GB"/>
    </w:rPr>
  </w:style>
  <w:style w:type="paragraph" w:styleId="Caption">
    <w:name w:val="caption"/>
    <w:basedOn w:val="Normal"/>
    <w:next w:val="Normal"/>
    <w:qFormat/>
    <w:rsid w:val="00F1721B"/>
    <w:pPr>
      <w:jc w:val="left"/>
    </w:pPr>
    <w:rPr>
      <w:b/>
      <w:sz w:val="20"/>
      <w:szCs w:val="20"/>
      <w:lang w:val="nl-NL"/>
    </w:rPr>
  </w:style>
  <w:style w:type="table" w:styleId="TableGrid">
    <w:name w:val="Table Grid"/>
    <w:basedOn w:val="TableNormal"/>
    <w:uiPriority w:val="59"/>
    <w:rsid w:val="00D35B58"/>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D35B58"/>
    <w:pPr>
      <w:spacing w:after="0" w:line="240" w:lineRule="auto"/>
      <w:jc w:val="center"/>
    </w:pPr>
    <w:rPr>
      <w:rFonts w:ascii="Times New Roman" w:eastAsia="Times New Roman" w:hAnsi="Times New Roman"/>
      <w:b/>
      <w:bCs/>
      <w:lang w:eastAsia="it-IT"/>
    </w:rPr>
  </w:style>
  <w:style w:type="character" w:customStyle="1" w:styleId="CommentSubjectChar">
    <w:name w:val="Comment Subject Char"/>
    <w:basedOn w:val="CommentTextChar"/>
    <w:link w:val="CommentSubject"/>
    <w:uiPriority w:val="99"/>
    <w:semiHidden/>
    <w:rsid w:val="00D35B58"/>
    <w:rPr>
      <w:rFonts w:ascii="Times New Roman" w:eastAsia="Times New Roman" w:hAnsi="Times New Roman"/>
      <w:b/>
      <w:bCs/>
      <w:lang w:eastAsia="it-IT"/>
    </w:rPr>
  </w:style>
  <w:style w:type="paragraph" w:styleId="ListParagraph">
    <w:name w:val="List Paragraph"/>
    <w:basedOn w:val="Normal"/>
    <w:uiPriority w:val="34"/>
    <w:qFormat/>
    <w:rsid w:val="006529F4"/>
    <w:pPr>
      <w:spacing w:after="200" w:line="276" w:lineRule="auto"/>
      <w:ind w:left="720"/>
      <w:contextualSpacing/>
      <w:jc w:val="left"/>
    </w:pPr>
    <w:rPr>
      <w:rFonts w:asciiTheme="minorHAnsi" w:eastAsiaTheme="minorHAnsi" w:hAnsiTheme="minorHAnsi" w:cstheme="minorBidi"/>
      <w:szCs w:val="22"/>
      <w:lang w:eastAsia="en-US"/>
    </w:rPr>
  </w:style>
  <w:style w:type="paragraph" w:styleId="Header">
    <w:name w:val="header"/>
    <w:basedOn w:val="Normal"/>
    <w:link w:val="HeaderChar"/>
    <w:unhideWhenUsed/>
    <w:rsid w:val="00B61FF8"/>
    <w:pPr>
      <w:tabs>
        <w:tab w:val="center" w:pos="4536"/>
        <w:tab w:val="right" w:pos="9072"/>
      </w:tabs>
    </w:pPr>
  </w:style>
  <w:style w:type="character" w:customStyle="1" w:styleId="HeaderChar">
    <w:name w:val="Header Char"/>
    <w:basedOn w:val="DefaultParagraphFont"/>
    <w:link w:val="Header"/>
    <w:uiPriority w:val="99"/>
    <w:semiHidden/>
    <w:rsid w:val="00B61FF8"/>
    <w:rPr>
      <w:rFonts w:ascii="Times New Roman" w:eastAsia="Times New Roman" w:hAnsi="Times New Roman" w:cs="Times New Roman"/>
      <w:sz w:val="24"/>
      <w:szCs w:val="24"/>
      <w:lang w:val="en-GB" w:eastAsia="it-IT"/>
    </w:rPr>
  </w:style>
  <w:style w:type="paragraph" w:styleId="Footer">
    <w:name w:val="footer"/>
    <w:basedOn w:val="Normal"/>
    <w:link w:val="FooterChar"/>
    <w:uiPriority w:val="99"/>
    <w:unhideWhenUsed/>
    <w:rsid w:val="00B61FF8"/>
    <w:pPr>
      <w:tabs>
        <w:tab w:val="center" w:pos="4536"/>
        <w:tab w:val="right" w:pos="9072"/>
      </w:tabs>
    </w:pPr>
  </w:style>
  <w:style w:type="character" w:customStyle="1" w:styleId="FooterChar">
    <w:name w:val="Footer Char"/>
    <w:basedOn w:val="DefaultParagraphFont"/>
    <w:link w:val="Footer"/>
    <w:uiPriority w:val="99"/>
    <w:rsid w:val="00B61FF8"/>
    <w:rPr>
      <w:rFonts w:ascii="Times New Roman" w:eastAsia="Times New Roman" w:hAnsi="Times New Roman" w:cs="Times New Roman"/>
      <w:sz w:val="24"/>
      <w:szCs w:val="24"/>
      <w:lang w:val="en-GB" w:eastAsia="it-IT"/>
    </w:rPr>
  </w:style>
  <w:style w:type="character" w:styleId="FootnoteReference">
    <w:name w:val="footnote reference"/>
    <w:aliases w:val="Footnote Reference1,Footnote symbol,ftref"/>
    <w:basedOn w:val="DefaultParagraphFont"/>
    <w:rsid w:val="001C3DF8"/>
    <w:rPr>
      <w:rFonts w:cs="Times New Roman"/>
      <w:vertAlign w:val="superscript"/>
    </w:rPr>
  </w:style>
  <w:style w:type="paragraph" w:styleId="FootnoteText">
    <w:name w:val="footnote text"/>
    <w:aliases w:val="Footnote,ft,Footnote Text Char Char Char Char Char Char Char Char Char Char,Fußnote,Geneva 9,Font: Geneva 9,Boston 10,f,Footnote Text Char Char,Footnote Text Char Char Char Char Char Char Char Char Char Char Char Char,Footnote Text2,ft2"/>
    <w:basedOn w:val="Normal"/>
    <w:link w:val="FootnoteTextChar"/>
    <w:rsid w:val="001C3DF8"/>
    <w:pPr>
      <w:jc w:val="left"/>
    </w:pPr>
    <w:rPr>
      <w:sz w:val="20"/>
      <w:szCs w:val="20"/>
      <w:lang w:val="nl-NL"/>
    </w:rPr>
  </w:style>
  <w:style w:type="character" w:customStyle="1" w:styleId="FootnoteTextChar">
    <w:name w:val="Footnote Text Char"/>
    <w:aliases w:val="Footnote Char,ft Char,Footnote Text Char Char Char Char Char Char Char Char Char Char Char,Fußnote Char,Geneva 9 Char,Font: Geneva 9 Char,Boston 10 Char,f Char,Footnote Text Char Char Char,Footnote Text2 Char,ft2 Char"/>
    <w:basedOn w:val="DefaultParagraphFont"/>
    <w:link w:val="FootnoteText"/>
    <w:semiHidden/>
    <w:rsid w:val="001C3DF8"/>
    <w:rPr>
      <w:rFonts w:ascii="Arial" w:eastAsia="Times New Roman" w:hAnsi="Arial" w:cs="Times New Roman"/>
      <w:sz w:val="20"/>
      <w:szCs w:val="20"/>
      <w:lang w:val="nl-NL" w:eastAsia="it-IT"/>
    </w:rPr>
  </w:style>
  <w:style w:type="table" w:styleId="TableClassic1">
    <w:name w:val="Table Classic 1"/>
    <w:basedOn w:val="TableNormal"/>
    <w:rsid w:val="001C3DF8"/>
    <w:pPr>
      <w:spacing w:after="0" w:line="240" w:lineRule="auto"/>
    </w:pPr>
    <w:rPr>
      <w:rFonts w:ascii="Times New Roman" w:eastAsia="Times New Roman" w:hAnsi="Times New Roman" w:cs="Times New Roman"/>
      <w:sz w:val="20"/>
      <w:szCs w:val="20"/>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ra2">
    <w:name w:val="para2"/>
    <w:basedOn w:val="Normal"/>
    <w:rsid w:val="001C3DF8"/>
    <w:pPr>
      <w:spacing w:after="100" w:afterAutospacing="1"/>
      <w:jc w:val="left"/>
    </w:pPr>
    <w:rPr>
      <w:rFonts w:cs="Arial"/>
      <w:color w:val="333333"/>
      <w:sz w:val="18"/>
      <w:szCs w:val="18"/>
      <w:lang w:eastAsia="en-GB"/>
    </w:rPr>
  </w:style>
  <w:style w:type="table" w:styleId="Table3Deffects3">
    <w:name w:val="Table 3D effects 3"/>
    <w:basedOn w:val="TableNormal"/>
    <w:rsid w:val="0008791D"/>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Shading-Accent11">
    <w:name w:val="Light Shading - Accent 11"/>
    <w:basedOn w:val="TableNormal"/>
    <w:uiPriority w:val="60"/>
    <w:rsid w:val="009459E9"/>
    <w:pPr>
      <w:spacing w:after="0" w:line="240" w:lineRule="auto"/>
    </w:pPr>
    <w:rPr>
      <w:rFonts w:ascii="Times New Roman" w:eastAsia="Times New Roman" w:hAnsi="Times New Roman" w:cs="Times New Roman"/>
      <w:color w:val="365F91" w:themeColor="accent1" w:themeShade="BF"/>
      <w:sz w:val="20"/>
      <w:szCs w:val="20"/>
      <w:lang w:val="en-GB" w:eastAsia="en-GB"/>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1A6273"/>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545820"/>
    <w:pPr>
      <w:keepLines/>
      <w:spacing w:before="0" w:after="240"/>
      <w:ind w:left="0"/>
      <w:jc w:val="left"/>
      <w:outlineLvl w:val="9"/>
    </w:pPr>
    <w:rPr>
      <w:rFonts w:eastAsiaTheme="majorEastAsia" w:cstheme="majorBidi"/>
      <w:bCs/>
      <w:caps w:val="0"/>
      <w:color w:val="auto"/>
      <w:kern w:val="0"/>
      <w:szCs w:val="28"/>
      <w:lang w:val="en-US" w:eastAsia="en-US"/>
    </w:rPr>
  </w:style>
  <w:style w:type="paragraph" w:styleId="TOC2">
    <w:name w:val="toc 2"/>
    <w:basedOn w:val="Normal"/>
    <w:next w:val="Normal"/>
    <w:autoRedefine/>
    <w:uiPriority w:val="39"/>
    <w:unhideWhenUsed/>
    <w:rsid w:val="00024A5E"/>
    <w:pPr>
      <w:spacing w:after="0"/>
      <w:ind w:left="220"/>
      <w:jc w:val="left"/>
    </w:pPr>
    <w:rPr>
      <w:rFonts w:asciiTheme="minorHAnsi" w:hAnsiTheme="minorHAnsi"/>
      <w:smallCaps/>
      <w:szCs w:val="22"/>
    </w:rPr>
  </w:style>
  <w:style w:type="paragraph" w:styleId="TableofFigures">
    <w:name w:val="table of figures"/>
    <w:basedOn w:val="Normal"/>
    <w:next w:val="Normal"/>
    <w:uiPriority w:val="99"/>
    <w:unhideWhenUsed/>
    <w:rsid w:val="00F67A06"/>
    <w:pPr>
      <w:ind w:left="480" w:hanging="480"/>
      <w:jc w:val="left"/>
    </w:pPr>
    <w:rPr>
      <w:b/>
      <w:bCs/>
      <w:szCs w:val="20"/>
    </w:rPr>
  </w:style>
  <w:style w:type="paragraph" w:styleId="TOC3">
    <w:name w:val="toc 3"/>
    <w:basedOn w:val="Normal"/>
    <w:next w:val="Normal"/>
    <w:autoRedefine/>
    <w:uiPriority w:val="39"/>
    <w:semiHidden/>
    <w:unhideWhenUsed/>
    <w:rsid w:val="005A79B2"/>
    <w:pPr>
      <w:spacing w:after="0"/>
      <w:ind w:left="440"/>
      <w:jc w:val="left"/>
    </w:pPr>
    <w:rPr>
      <w:rFonts w:asciiTheme="minorHAnsi" w:hAnsiTheme="minorHAnsi"/>
      <w:i/>
      <w:szCs w:val="22"/>
    </w:rPr>
  </w:style>
  <w:style w:type="paragraph" w:styleId="TOC4">
    <w:name w:val="toc 4"/>
    <w:basedOn w:val="Normal"/>
    <w:next w:val="Normal"/>
    <w:autoRedefine/>
    <w:uiPriority w:val="39"/>
    <w:semiHidden/>
    <w:unhideWhenUsed/>
    <w:rsid w:val="005A79B2"/>
    <w:pPr>
      <w:spacing w:after="0"/>
      <w:ind w:left="660"/>
      <w:jc w:val="left"/>
    </w:pPr>
    <w:rPr>
      <w:rFonts w:asciiTheme="minorHAnsi" w:hAnsiTheme="minorHAnsi"/>
      <w:sz w:val="18"/>
      <w:szCs w:val="18"/>
    </w:rPr>
  </w:style>
  <w:style w:type="paragraph" w:styleId="TOC5">
    <w:name w:val="toc 5"/>
    <w:basedOn w:val="Normal"/>
    <w:next w:val="Normal"/>
    <w:autoRedefine/>
    <w:uiPriority w:val="39"/>
    <w:semiHidden/>
    <w:unhideWhenUsed/>
    <w:rsid w:val="005A79B2"/>
    <w:pPr>
      <w:spacing w:after="0"/>
      <w:ind w:left="880"/>
      <w:jc w:val="left"/>
    </w:pPr>
    <w:rPr>
      <w:rFonts w:asciiTheme="minorHAnsi" w:hAnsiTheme="minorHAnsi"/>
      <w:sz w:val="18"/>
      <w:szCs w:val="18"/>
    </w:rPr>
  </w:style>
  <w:style w:type="paragraph" w:styleId="TOC6">
    <w:name w:val="toc 6"/>
    <w:basedOn w:val="Normal"/>
    <w:next w:val="Normal"/>
    <w:autoRedefine/>
    <w:uiPriority w:val="39"/>
    <w:semiHidden/>
    <w:unhideWhenUsed/>
    <w:rsid w:val="005A79B2"/>
    <w:pPr>
      <w:spacing w:after="0"/>
      <w:ind w:left="1100"/>
      <w:jc w:val="left"/>
    </w:pPr>
    <w:rPr>
      <w:rFonts w:asciiTheme="minorHAnsi" w:hAnsiTheme="minorHAnsi"/>
      <w:sz w:val="18"/>
      <w:szCs w:val="18"/>
    </w:rPr>
  </w:style>
  <w:style w:type="paragraph" w:styleId="TOC7">
    <w:name w:val="toc 7"/>
    <w:basedOn w:val="Normal"/>
    <w:next w:val="Normal"/>
    <w:autoRedefine/>
    <w:uiPriority w:val="39"/>
    <w:semiHidden/>
    <w:unhideWhenUsed/>
    <w:rsid w:val="005A79B2"/>
    <w:pPr>
      <w:spacing w:after="0"/>
      <w:ind w:left="1320"/>
      <w:jc w:val="left"/>
    </w:pPr>
    <w:rPr>
      <w:rFonts w:asciiTheme="minorHAnsi" w:hAnsiTheme="minorHAnsi"/>
      <w:sz w:val="18"/>
      <w:szCs w:val="18"/>
    </w:rPr>
  </w:style>
  <w:style w:type="paragraph" w:styleId="TOC8">
    <w:name w:val="toc 8"/>
    <w:basedOn w:val="Normal"/>
    <w:next w:val="Normal"/>
    <w:autoRedefine/>
    <w:uiPriority w:val="39"/>
    <w:semiHidden/>
    <w:unhideWhenUsed/>
    <w:rsid w:val="005A79B2"/>
    <w:pPr>
      <w:spacing w:after="0"/>
      <w:ind w:left="1540"/>
      <w:jc w:val="left"/>
    </w:pPr>
    <w:rPr>
      <w:rFonts w:asciiTheme="minorHAnsi" w:hAnsiTheme="minorHAnsi"/>
      <w:sz w:val="18"/>
      <w:szCs w:val="18"/>
    </w:rPr>
  </w:style>
  <w:style w:type="paragraph" w:styleId="TOC9">
    <w:name w:val="toc 9"/>
    <w:basedOn w:val="Normal"/>
    <w:next w:val="Normal"/>
    <w:autoRedefine/>
    <w:uiPriority w:val="39"/>
    <w:semiHidden/>
    <w:unhideWhenUsed/>
    <w:rsid w:val="005A79B2"/>
    <w:pPr>
      <w:spacing w:after="0"/>
      <w:ind w:left="1760"/>
      <w:jc w:val="left"/>
    </w:pPr>
    <w:rPr>
      <w:rFonts w:asciiTheme="minorHAnsi" w:hAnsiTheme="minorHAnsi"/>
      <w:sz w:val="18"/>
      <w:szCs w:val="18"/>
    </w:rPr>
  </w:style>
  <w:style w:type="character" w:styleId="EndnoteReference">
    <w:name w:val="endnote reference"/>
    <w:basedOn w:val="DefaultParagraphFont"/>
    <w:rsid w:val="00E65DF6"/>
    <w:rPr>
      <w:noProof w:val="0"/>
      <w:color w:val="000000"/>
      <w:sz w:val="20"/>
      <w:lang w:val="en-US"/>
    </w:rPr>
  </w:style>
  <w:style w:type="paragraph" w:customStyle="1" w:styleId="Default">
    <w:name w:val="Default"/>
    <w:rsid w:val="00CF0D35"/>
    <w:pPr>
      <w:widowControl w:val="0"/>
      <w:autoSpaceDE w:val="0"/>
      <w:autoSpaceDN w:val="0"/>
      <w:adjustRightInd w:val="0"/>
      <w:spacing w:after="0" w:line="240" w:lineRule="auto"/>
    </w:pPr>
    <w:rPr>
      <w:rFonts w:ascii="Verdana" w:hAnsi="Verdana" w:cs="Verdana"/>
      <w:color w:val="000000"/>
      <w:sz w:val="24"/>
      <w:szCs w:val="24"/>
      <w:lang w:val="en-US"/>
    </w:rPr>
  </w:style>
  <w:style w:type="character" w:customStyle="1" w:styleId="site-title">
    <w:name w:val="site-title"/>
    <w:basedOn w:val="DefaultParagraphFont"/>
    <w:rsid w:val="009451D1"/>
  </w:style>
  <w:style w:type="character" w:customStyle="1" w:styleId="cit-print-date">
    <w:name w:val="cit-print-date"/>
    <w:basedOn w:val="DefaultParagraphFont"/>
    <w:rsid w:val="009451D1"/>
  </w:style>
  <w:style w:type="character" w:customStyle="1" w:styleId="cit-vol">
    <w:name w:val="cit-vol"/>
    <w:basedOn w:val="DefaultParagraphFont"/>
    <w:rsid w:val="009451D1"/>
  </w:style>
  <w:style w:type="character" w:customStyle="1" w:styleId="cit-sepcit-sep-after-article-vol">
    <w:name w:val="cit-sep cit-sep-after-article-vol"/>
    <w:basedOn w:val="DefaultParagraphFont"/>
    <w:rsid w:val="009451D1"/>
  </w:style>
  <w:style w:type="character" w:customStyle="1" w:styleId="cit-first-page">
    <w:name w:val="cit-first-page"/>
    <w:basedOn w:val="DefaultParagraphFont"/>
    <w:rsid w:val="009451D1"/>
  </w:style>
  <w:style w:type="character" w:customStyle="1" w:styleId="cit-sep">
    <w:name w:val="cit-sep"/>
    <w:basedOn w:val="DefaultParagraphFont"/>
    <w:rsid w:val="009451D1"/>
  </w:style>
  <w:style w:type="character" w:customStyle="1" w:styleId="cit-last-page">
    <w:name w:val="cit-last-page"/>
    <w:basedOn w:val="DefaultParagraphFont"/>
    <w:rsid w:val="009451D1"/>
  </w:style>
  <w:style w:type="paragraph" w:customStyle="1" w:styleId="Pa2">
    <w:name w:val="Pa2"/>
    <w:basedOn w:val="Default"/>
    <w:next w:val="Default"/>
    <w:uiPriority w:val="99"/>
    <w:rsid w:val="00F14DFA"/>
    <w:pPr>
      <w:spacing w:line="241" w:lineRule="atLeast"/>
    </w:pPr>
    <w:rPr>
      <w:rFonts w:ascii="TimesNewRomanPS" w:hAnsi="TimesNewRomanPS" w:cs="Times New Roman"/>
      <w:color w:val="auto"/>
    </w:rPr>
  </w:style>
  <w:style w:type="paragraph" w:styleId="NormalWeb">
    <w:name w:val="Normal (Web)"/>
    <w:basedOn w:val="Normal"/>
    <w:uiPriority w:val="99"/>
    <w:rsid w:val="008D553A"/>
    <w:pPr>
      <w:spacing w:beforeLines="1" w:afterLines="1"/>
      <w:jc w:val="left"/>
    </w:pPr>
    <w:rPr>
      <w:rFonts w:ascii="Times" w:eastAsiaTheme="minorHAnsi" w:hAnsi="Times"/>
      <w:sz w:val="20"/>
      <w:szCs w:val="20"/>
      <w:lang w:eastAsia="en-US"/>
    </w:rPr>
  </w:style>
  <w:style w:type="character" w:styleId="FollowedHyperlink">
    <w:name w:val="FollowedHyperlink"/>
    <w:basedOn w:val="DefaultParagraphFont"/>
    <w:rsid w:val="00EF438E"/>
    <w:rPr>
      <w:color w:val="800080" w:themeColor="followedHyperlink"/>
      <w:u w:val="single"/>
    </w:rPr>
  </w:style>
  <w:style w:type="paragraph" w:customStyle="1" w:styleId="reference">
    <w:name w:val="reference"/>
    <w:basedOn w:val="Normal"/>
    <w:rsid w:val="000C42A2"/>
    <w:pPr>
      <w:numPr>
        <w:numId w:val="11"/>
      </w:numPr>
      <w:spacing w:after="120"/>
      <w:jc w:val="left"/>
    </w:pPr>
    <w:rPr>
      <w:rFonts w:ascii="Times New Roman" w:hAnsi="Times New Roman"/>
      <w:sz w:val="20"/>
      <w:szCs w:val="22"/>
      <w:lang w:val="en-US" w:eastAsia="en-US"/>
    </w:rPr>
  </w:style>
</w:styles>
</file>

<file path=word/webSettings.xml><?xml version="1.0" encoding="utf-8"?>
<w:webSettings xmlns:r="http://schemas.openxmlformats.org/officeDocument/2006/relationships" xmlns:w="http://schemas.openxmlformats.org/wordprocessingml/2006/main">
  <w:divs>
    <w:div w:id="150491479">
      <w:bodyDiv w:val="1"/>
      <w:marLeft w:val="0"/>
      <w:marRight w:val="0"/>
      <w:marTop w:val="0"/>
      <w:marBottom w:val="0"/>
      <w:divBdr>
        <w:top w:val="none" w:sz="0" w:space="0" w:color="auto"/>
        <w:left w:val="none" w:sz="0" w:space="0" w:color="auto"/>
        <w:bottom w:val="none" w:sz="0" w:space="0" w:color="auto"/>
        <w:right w:val="none" w:sz="0" w:space="0" w:color="auto"/>
      </w:divBdr>
    </w:div>
    <w:div w:id="248469215">
      <w:bodyDiv w:val="1"/>
      <w:marLeft w:val="0"/>
      <w:marRight w:val="0"/>
      <w:marTop w:val="0"/>
      <w:marBottom w:val="0"/>
      <w:divBdr>
        <w:top w:val="none" w:sz="0" w:space="0" w:color="auto"/>
        <w:left w:val="none" w:sz="0" w:space="0" w:color="auto"/>
        <w:bottom w:val="none" w:sz="0" w:space="0" w:color="auto"/>
        <w:right w:val="none" w:sz="0" w:space="0" w:color="auto"/>
      </w:divBdr>
      <w:divsChild>
        <w:div w:id="19999942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037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5" Type="http://schemas.openxmlformats.org/officeDocument/2006/relationships/image" Target="media/image18.jpeg"/><Relationship Id="rId31" Type="http://schemas.openxmlformats.org/officeDocument/2006/relationships/image" Target="media/image14.png"/><Relationship Id="rId34" Type="http://schemas.openxmlformats.org/officeDocument/2006/relationships/image" Target="media/image17.jpeg"/><Relationship Id="rId7" Type="http://schemas.openxmlformats.org/officeDocument/2006/relationships/endnotes" Target="endnotes.xml"/><Relationship Id="rId36" Type="http://schemas.openxmlformats.org/officeDocument/2006/relationships/printerSettings" Target="printerSettings/printerSettings2.bin"/><Relationship Id="rId1" Type="http://schemas.openxmlformats.org/officeDocument/2006/relationships/customXml" Target="../customXml/item1.xml"/><Relationship Id="rId24" Type="http://schemas.openxmlformats.org/officeDocument/2006/relationships/image" Target="media/image8.png"/><Relationship Id="rId25" Type="http://schemas.openxmlformats.org/officeDocument/2006/relationships/image" Target="media/image9.pict"/><Relationship Id="rId8" Type="http://schemas.openxmlformats.org/officeDocument/2006/relationships/image" Target="media/image1.jpeg"/><Relationship Id="rId13" Type="http://schemas.openxmlformats.org/officeDocument/2006/relationships/image" Target="media/image4.emf"/><Relationship Id="rId10" Type="http://schemas.openxmlformats.org/officeDocument/2006/relationships/image" Target="media/image2.gif"/><Relationship Id="rId32" Type="http://schemas.openxmlformats.org/officeDocument/2006/relationships/image" Target="media/image15.pict"/><Relationship Id="rId37" Type="http://schemas.openxmlformats.org/officeDocument/2006/relationships/fontTable" Target="fontTable.xml"/><Relationship Id="rId12" Type="http://schemas.openxmlformats.org/officeDocument/2006/relationships/chart" Target="charts/chart1.xml"/><Relationship Id="rId17" Type="http://schemas.openxmlformats.org/officeDocument/2006/relationships/hyperlink" Target="http://www.sciencedirect.com/science/article/pii/S0306919211000285" TargetMode="External"/><Relationship Id="rId9" Type="http://schemas.openxmlformats.org/officeDocument/2006/relationships/hyperlink" Target="http://www.welfarequality.net/" TargetMode="External"/><Relationship Id="rId18" Type="http://schemas.openxmlformats.org/officeDocument/2006/relationships/header" Target="header1.xml"/><Relationship Id="rId3" Type="http://schemas.openxmlformats.org/officeDocument/2006/relationships/styles" Target="styles.xml"/><Relationship Id="rId27" Type="http://schemas.openxmlformats.org/officeDocument/2006/relationships/image" Target="media/image11.pict"/><Relationship Id="rId14" Type="http://schemas.openxmlformats.org/officeDocument/2006/relationships/image" Target="media/image5.emf"/><Relationship Id="rId23" Type="http://schemas.openxmlformats.org/officeDocument/2006/relationships/footer" Target="footer3.xml"/><Relationship Id="rId4" Type="http://schemas.openxmlformats.org/officeDocument/2006/relationships/settings" Target="settings.xml"/><Relationship Id="rId28" Type="http://schemas.openxmlformats.org/officeDocument/2006/relationships/image" Target="media/image12.png"/><Relationship Id="rId26" Type="http://schemas.openxmlformats.org/officeDocument/2006/relationships/image" Target="media/image10.png"/><Relationship Id="rId30" Type="http://schemas.openxmlformats.org/officeDocument/2006/relationships/printerSettings" Target="printerSettings/printerSettings1.bin"/><Relationship Id="rId11" Type="http://schemas.openxmlformats.org/officeDocument/2006/relationships/image" Target="media/image3.gif"/><Relationship Id="rId29" Type="http://schemas.openxmlformats.org/officeDocument/2006/relationships/image" Target="media/image13.pict"/><Relationship Id="rId6" Type="http://schemas.openxmlformats.org/officeDocument/2006/relationships/footnotes" Target="footnotes.xml"/><Relationship Id="rId16" Type="http://schemas.openxmlformats.org/officeDocument/2006/relationships/image" Target="media/image7.png"/><Relationship Id="rId33"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6.png"/><Relationship Id="rId19" Type="http://schemas.openxmlformats.org/officeDocument/2006/relationships/header" Target="header2.xml"/><Relationship Id="rId38" Type="http://schemas.openxmlformats.org/officeDocument/2006/relationships/theme" Target="theme/theme1.xml"/><Relationship Id="rId20" Type="http://schemas.openxmlformats.org/officeDocument/2006/relationships/footer" Target="footer1.xml"/><Relationship Id="rId22" Type="http://schemas.openxmlformats.org/officeDocument/2006/relationships/header" Target="header3.xml"/><Relationship Id="rId21" Type="http://schemas.openxmlformats.org/officeDocument/2006/relationships/footer" Target="footer2.xml"/><Relationship Id="rId2"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www.norsys.com/download.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tower3\home14\nmch\projects\ECONWELFARE2008\WP4\Netica\ConsolidatedChain\ChainHistogram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view3D>
      <c:rAngAx val="1"/>
    </c:view3D>
    <c:plotArea>
      <c:layout/>
      <c:bar3DChart>
        <c:barDir val="col"/>
        <c:grouping val="clustered"/>
        <c:ser>
          <c:idx val="0"/>
          <c:order val="0"/>
          <c:tx>
            <c:strRef>
              <c:f>CHHAINTRANSPOSED!$B$105</c:f>
              <c:strCache>
                <c:ptCount val="1"/>
                <c:pt idx="0">
                  <c:v>On-Farm Standards</c:v>
                </c:pt>
              </c:strCache>
            </c:strRef>
          </c:tx>
          <c:dLbls>
            <c:txPr>
              <a:bodyPr/>
              <a:lstStyle/>
              <a:p>
                <a:pPr>
                  <a:defRPr lang="en-GB"/>
                </a:pPr>
                <a:endParaRPr lang="en-US"/>
              </a:p>
            </c:txPr>
            <c:showVal val="1"/>
          </c:dLbls>
          <c:cat>
            <c:strRef>
              <c:f>CHHAINTRANSPOSED!$A$106:$A$110</c:f>
              <c:strCache>
                <c:ptCount val="5"/>
                <c:pt idx="0">
                  <c:v>very strong</c:v>
                </c:pt>
                <c:pt idx="1">
                  <c:v>strong</c:v>
                </c:pt>
                <c:pt idx="2">
                  <c:v>weak </c:v>
                </c:pt>
                <c:pt idx="3">
                  <c:v>very weak</c:v>
                </c:pt>
                <c:pt idx="4">
                  <c:v>non-existent </c:v>
                </c:pt>
              </c:strCache>
            </c:strRef>
          </c:cat>
          <c:val>
            <c:numRef>
              <c:f>CHHAINTRANSPOSED!$B$106:$B$110</c:f>
              <c:numCache>
                <c:formatCode>0</c:formatCode>
                <c:ptCount val="5"/>
                <c:pt idx="0">
                  <c:v>18.0</c:v>
                </c:pt>
                <c:pt idx="1">
                  <c:v>55.0</c:v>
                </c:pt>
                <c:pt idx="2">
                  <c:v>19.0</c:v>
                </c:pt>
                <c:pt idx="3">
                  <c:v>8.0</c:v>
                </c:pt>
              </c:numCache>
            </c:numRef>
          </c:val>
        </c:ser>
        <c:ser>
          <c:idx val="1"/>
          <c:order val="1"/>
          <c:tx>
            <c:strRef>
              <c:f>CHHAINTRANSPOSED!$C$105</c:f>
              <c:strCache>
                <c:ptCount val="1"/>
                <c:pt idx="0">
                  <c:v>Off-farm Standards</c:v>
                </c:pt>
              </c:strCache>
            </c:strRef>
          </c:tx>
          <c:dLbls>
            <c:dLbl>
              <c:idx val="0"/>
              <c:layout>
                <c:manualLayout>
                  <c:x val="0.0111111111111111"/>
                  <c:y val="0.0"/>
                </c:manualLayout>
              </c:layout>
              <c:showVal val="1"/>
            </c:dLbl>
            <c:dLbl>
              <c:idx val="1"/>
              <c:layout>
                <c:manualLayout>
                  <c:x val="0.0194444444444444"/>
                  <c:y val="0.0"/>
                </c:manualLayout>
              </c:layout>
              <c:showVal val="1"/>
            </c:dLbl>
            <c:txPr>
              <a:bodyPr/>
              <a:lstStyle/>
              <a:p>
                <a:pPr>
                  <a:defRPr lang="en-GB"/>
                </a:pPr>
                <a:endParaRPr lang="en-US"/>
              </a:p>
            </c:txPr>
            <c:showVal val="1"/>
          </c:dLbls>
          <c:cat>
            <c:strRef>
              <c:f>CHHAINTRANSPOSED!$A$106:$A$110</c:f>
              <c:strCache>
                <c:ptCount val="5"/>
                <c:pt idx="0">
                  <c:v>very strong</c:v>
                </c:pt>
                <c:pt idx="1">
                  <c:v>strong</c:v>
                </c:pt>
                <c:pt idx="2">
                  <c:v>weak </c:v>
                </c:pt>
                <c:pt idx="3">
                  <c:v>very weak</c:v>
                </c:pt>
                <c:pt idx="4">
                  <c:v>non-existent </c:v>
                </c:pt>
              </c:strCache>
            </c:strRef>
          </c:cat>
          <c:val>
            <c:numRef>
              <c:f>CHHAINTRANSPOSED!$C$106:$C$110</c:f>
              <c:numCache>
                <c:formatCode>0</c:formatCode>
                <c:ptCount val="5"/>
                <c:pt idx="0">
                  <c:v>11.76470588235294</c:v>
                </c:pt>
                <c:pt idx="1">
                  <c:v>43.5294117647059</c:v>
                </c:pt>
                <c:pt idx="2">
                  <c:v>27.05882352941176</c:v>
                </c:pt>
                <c:pt idx="3">
                  <c:v>9.411764705882353</c:v>
                </c:pt>
              </c:numCache>
            </c:numRef>
          </c:val>
        </c:ser>
        <c:ser>
          <c:idx val="2"/>
          <c:order val="2"/>
          <c:tx>
            <c:strRef>
              <c:f>CHHAINTRANSPOSED!$D$105</c:f>
              <c:strCache>
                <c:ptCount val="1"/>
                <c:pt idx="0">
                  <c:v>Market demand </c:v>
                </c:pt>
              </c:strCache>
            </c:strRef>
          </c:tx>
          <c:dLbls>
            <c:dLbl>
              <c:idx val="0"/>
              <c:layout>
                <c:manualLayout>
                  <c:x val="0.0333333333333333"/>
                  <c:y val="0.0"/>
                </c:manualLayout>
              </c:layout>
              <c:showVal val="1"/>
            </c:dLbl>
            <c:dLbl>
              <c:idx val="1"/>
              <c:layout>
                <c:manualLayout>
                  <c:x val="0.0194444444444444"/>
                  <c:y val="0.0"/>
                </c:manualLayout>
              </c:layout>
              <c:showVal val="1"/>
            </c:dLbl>
            <c:txPr>
              <a:bodyPr/>
              <a:lstStyle/>
              <a:p>
                <a:pPr>
                  <a:defRPr lang="en-GB"/>
                </a:pPr>
                <a:endParaRPr lang="en-US"/>
              </a:p>
            </c:txPr>
            <c:showVal val="1"/>
          </c:dLbls>
          <c:cat>
            <c:strRef>
              <c:f>CHHAINTRANSPOSED!$A$106:$A$110</c:f>
              <c:strCache>
                <c:ptCount val="5"/>
                <c:pt idx="0">
                  <c:v>very strong</c:v>
                </c:pt>
                <c:pt idx="1">
                  <c:v>strong</c:v>
                </c:pt>
                <c:pt idx="2">
                  <c:v>weak </c:v>
                </c:pt>
                <c:pt idx="3">
                  <c:v>very weak</c:v>
                </c:pt>
                <c:pt idx="4">
                  <c:v>non-existent </c:v>
                </c:pt>
              </c:strCache>
            </c:strRef>
          </c:cat>
          <c:val>
            <c:numRef>
              <c:f>CHHAINTRANSPOSED!$D$106:$D$110</c:f>
              <c:numCache>
                <c:formatCode>0</c:formatCode>
                <c:ptCount val="5"/>
                <c:pt idx="0">
                  <c:v>14.11764705882353</c:v>
                </c:pt>
                <c:pt idx="1">
                  <c:v>23.52941176470588</c:v>
                </c:pt>
                <c:pt idx="2">
                  <c:v>43.5294117647059</c:v>
                </c:pt>
                <c:pt idx="3">
                  <c:v>15.29411764705882</c:v>
                </c:pt>
                <c:pt idx="4">
                  <c:v>4.0</c:v>
                </c:pt>
              </c:numCache>
            </c:numRef>
          </c:val>
        </c:ser>
        <c:ser>
          <c:idx val="3"/>
          <c:order val="3"/>
          <c:tx>
            <c:strRef>
              <c:f>CHHAINTRANSPOSED!$E$105</c:f>
              <c:strCache>
                <c:ptCount val="1"/>
              </c:strCache>
            </c:strRef>
          </c:tx>
          <c:cat>
            <c:strRef>
              <c:f>CHHAINTRANSPOSED!$A$106:$A$110</c:f>
              <c:strCache>
                <c:ptCount val="5"/>
                <c:pt idx="0">
                  <c:v>very strong</c:v>
                </c:pt>
                <c:pt idx="1">
                  <c:v>strong</c:v>
                </c:pt>
                <c:pt idx="2">
                  <c:v>weak </c:v>
                </c:pt>
                <c:pt idx="3">
                  <c:v>very weak</c:v>
                </c:pt>
                <c:pt idx="4">
                  <c:v>non-existent </c:v>
                </c:pt>
              </c:strCache>
            </c:strRef>
          </c:cat>
          <c:val>
            <c:numRef>
              <c:f>CHHAINTRANSPOSED!$E$106:$E$110</c:f>
              <c:numCache>
                <c:formatCode>General</c:formatCode>
                <c:ptCount val="5"/>
              </c:numCache>
            </c:numRef>
          </c:val>
        </c:ser>
        <c:shape val="box"/>
        <c:axId val="1191221416"/>
        <c:axId val="1248264344"/>
        <c:axId val="0"/>
      </c:bar3DChart>
      <c:catAx>
        <c:axId val="1191221416"/>
        <c:scaling>
          <c:orientation val="minMax"/>
        </c:scaling>
        <c:axPos val="b"/>
        <c:tickLblPos val="nextTo"/>
        <c:txPr>
          <a:bodyPr/>
          <a:lstStyle/>
          <a:p>
            <a:pPr>
              <a:defRPr lang="en-GB"/>
            </a:pPr>
            <a:endParaRPr lang="en-US"/>
          </a:p>
        </c:txPr>
        <c:crossAx val="1248264344"/>
        <c:crosses val="autoZero"/>
        <c:auto val="1"/>
        <c:lblAlgn val="ctr"/>
        <c:lblOffset val="100"/>
      </c:catAx>
      <c:valAx>
        <c:axId val="1248264344"/>
        <c:scaling>
          <c:orientation val="minMax"/>
        </c:scaling>
        <c:axPos val="l"/>
        <c:majorGridlines/>
        <c:numFmt formatCode="0" sourceLinked="1"/>
        <c:tickLblPos val="nextTo"/>
        <c:txPr>
          <a:bodyPr/>
          <a:lstStyle/>
          <a:p>
            <a:pPr>
              <a:defRPr lang="en-GB"/>
            </a:pPr>
            <a:endParaRPr lang="en-US"/>
          </a:p>
        </c:txPr>
        <c:crossAx val="1191221416"/>
        <c:crosses val="autoZero"/>
        <c:crossBetween val="between"/>
      </c:valAx>
    </c:plotArea>
    <c:legend>
      <c:legendPos val="b"/>
      <c:legendEntry>
        <c:idx val="3"/>
        <c:delete val="1"/>
      </c:legendEntry>
      <c:layout/>
      <c:txPr>
        <a:bodyPr/>
        <a:lstStyle/>
        <a:p>
          <a:pPr>
            <a:defRPr lang="en-GB"/>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E05C9-C03B-6F4A-8D79-05BDAC6F4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51</Pages>
  <Words>21039</Words>
  <Characters>119926</Characters>
  <Application>Microsoft Macintosh Word</Application>
  <DocSecurity>0</DocSecurity>
  <Lines>999</Lines>
  <Paragraphs>239</Paragraphs>
  <ScaleCrop>false</ScaleCrop>
  <HeadingPairs>
    <vt:vector size="2" baseType="variant">
      <vt:variant>
        <vt:lpstr>Title</vt:lpstr>
      </vt:variant>
      <vt:variant>
        <vt:i4>1</vt:i4>
      </vt:variant>
    </vt:vector>
  </HeadingPairs>
  <TitlesOfParts>
    <vt:vector size="1" baseType="lpstr">
      <vt:lpstr/>
    </vt:vector>
  </TitlesOfParts>
  <Company>SLU</Company>
  <LinksUpToDate>false</LinksUpToDate>
  <CharactersWithSpaces>147277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Keeling</dc:creator>
  <cp:keywords/>
  <dc:description/>
  <cp:lastModifiedBy>David  Harvey</cp:lastModifiedBy>
  <cp:revision>5</cp:revision>
  <cp:lastPrinted>2011-05-10T11:40:00Z</cp:lastPrinted>
  <dcterms:created xsi:type="dcterms:W3CDTF">2011-10-13T19:15:00Z</dcterms:created>
  <dcterms:modified xsi:type="dcterms:W3CDTF">2011-10-13T19:20:00Z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-27775113</vt:i4>
  </property>
  <property fmtid="{D5CDD505-2E9C-101B-9397-08002B2CF9AE}" pid="3" name="_NewReviewCycle">
    <vt:lpwstr/>
  </property>
  <property fmtid="{D5CDD505-2E9C-101B-9397-08002B2CF9AE}" pid="4" name="_EmailSubject">
    <vt:lpwstr/>
  </property>
  <property fmtid="{D5CDD505-2E9C-101B-9397-08002B2CF9AE}" pid="5" name="_AuthorEmail">
    <vt:lpwstr>carmen.hubbard@newcastle.ac.uk</vt:lpwstr>
  </property>
  <property fmtid="{D5CDD505-2E9C-101B-9397-08002B2CF9AE}" pid="6" name="_AuthorEmailDisplayName">
    <vt:lpwstr>Carmen Hubbard</vt:lpwstr>
  </property>
</Properties>
</file>