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929" w:rsidRDefault="00143929" w:rsidP="00143929">
      <w:pPr>
        <w:rPr>
          <w:rFonts w:ascii="Adobe Gothic Std B" w:eastAsia="Adobe Gothic Std B" w:hAnsi="Adobe Gothic Std B"/>
          <w:sz w:val="32"/>
          <w:szCs w:val="32"/>
        </w:rPr>
      </w:pPr>
      <w:r w:rsidRPr="00AB7965">
        <w:rPr>
          <w:rFonts w:ascii="Adobe Gothic Std B" w:eastAsia="Adobe Gothic Std B" w:hAnsi="Adobe Gothic Std B"/>
          <w:sz w:val="32"/>
          <w:szCs w:val="32"/>
        </w:rPr>
        <w:t xml:space="preserve">Working the metricized academy: </w:t>
      </w:r>
      <w:r>
        <w:rPr>
          <w:rFonts w:ascii="Adobe Gothic Std B" w:eastAsia="Adobe Gothic Std B" w:hAnsi="Adobe Gothic Std B"/>
          <w:sz w:val="32"/>
          <w:szCs w:val="32"/>
        </w:rPr>
        <w:t>DIARY COMPLETION EXERCISE, PILOT PROJECT.</w:t>
      </w:r>
    </w:p>
    <w:p w:rsidR="00143929" w:rsidRPr="00AB7965" w:rsidRDefault="00143929" w:rsidP="00143929">
      <w:pPr>
        <w:rPr>
          <w:rFonts w:ascii="Adobe Gothic Std B" w:eastAsia="Adobe Gothic Std B" w:hAnsi="Adobe Gothic Std B"/>
          <w:sz w:val="24"/>
          <w:szCs w:val="24"/>
        </w:rPr>
      </w:pPr>
      <w:r>
        <w:rPr>
          <w:rFonts w:ascii="Adobe Gothic Std B" w:eastAsia="Adobe Gothic Std B" w:hAnsi="Adobe Gothic Std B"/>
          <w:sz w:val="24"/>
          <w:szCs w:val="24"/>
        </w:rPr>
        <w:t>INSTRUCTIONS</w:t>
      </w:r>
    </w:p>
    <w:p w:rsidR="005B0E71" w:rsidRDefault="00143929" w:rsidP="000B6549">
      <w:pPr>
        <w:contextualSpacing/>
      </w:pPr>
      <w:r>
        <w:tab/>
        <w:t xml:space="preserve">The diary is in two parts. We would ask you initially to complete Part I, the retrospective diary, going back to when you first remember hearing of RTB. </w:t>
      </w:r>
      <w:r w:rsidR="005B0E71">
        <w:t>As it may be hard to recall</w:t>
      </w:r>
      <w:r w:rsidR="00F52786">
        <w:t xml:space="preserve"> precise dates, meetings </w:t>
      </w:r>
      <w:proofErr w:type="spellStart"/>
      <w:r w:rsidR="00F52786">
        <w:t>etc</w:t>
      </w:r>
      <w:proofErr w:type="spellEnd"/>
      <w:r w:rsidR="005B0E71">
        <w:t>, you might find it easier to write a summary of experiences so far, or jot down snatched memories and key moments</w:t>
      </w:r>
      <w:r w:rsidR="00922388">
        <w:t xml:space="preserve"> with approximate dates</w:t>
      </w:r>
      <w:r w:rsidR="005B0E71">
        <w:t>.</w:t>
      </w:r>
    </w:p>
    <w:p w:rsidR="00143929" w:rsidRDefault="005B0E71" w:rsidP="000B6549">
      <w:pPr>
        <w:contextualSpacing/>
      </w:pPr>
      <w:r>
        <w:tab/>
        <w:t xml:space="preserve">Going forwards, we would ask you, in part </w:t>
      </w:r>
      <w:r w:rsidR="00143929">
        <w:t>II, to add new entries on an ongoing basis</w:t>
      </w:r>
      <w:r w:rsidR="00B107C6">
        <w:t>: provisionally up until the end of December 2016</w:t>
      </w:r>
      <w:r w:rsidR="00143929">
        <w:t xml:space="preserve">. If you don’t have time for Part I, then just begin with Part II and fill in Part </w:t>
      </w:r>
      <w:proofErr w:type="gramStart"/>
      <w:r w:rsidR="00143929">
        <w:t>I</w:t>
      </w:r>
      <w:proofErr w:type="gramEnd"/>
      <w:r w:rsidR="00143929">
        <w:t xml:space="preserve"> at a later stage if </w:t>
      </w:r>
      <w:r>
        <w:t>time allows</w:t>
      </w:r>
      <w:r w:rsidR="00143929">
        <w:t>.</w:t>
      </w:r>
    </w:p>
    <w:p w:rsidR="001D34BA" w:rsidRDefault="00143929" w:rsidP="000B6549">
      <w:pPr>
        <w:contextualSpacing/>
      </w:pPr>
      <w:r>
        <w:tab/>
      </w:r>
    </w:p>
    <w:p w:rsidR="00143929" w:rsidRDefault="00143929" w:rsidP="001D34BA">
      <w:pPr>
        <w:ind w:firstLine="360"/>
        <w:contextualSpacing/>
      </w:pPr>
      <w:r>
        <w:t>Please record your experiences, feelings, and thoug</w:t>
      </w:r>
      <w:r w:rsidR="001D34BA">
        <w:t>hts about RTB as you encounter</w:t>
      </w:r>
      <w:r>
        <w:t xml:space="preserve"> it in your daily working life at Newcastle University. This could include: </w:t>
      </w:r>
    </w:p>
    <w:p w:rsidR="00143929" w:rsidRDefault="00143929" w:rsidP="00143929">
      <w:pPr>
        <w:pStyle w:val="ListParagraph"/>
        <w:numPr>
          <w:ilvl w:val="0"/>
          <w:numId w:val="1"/>
        </w:numPr>
      </w:pPr>
      <w:r>
        <w:t>formal management-led communications such as emails from the management to all staff</w:t>
      </w:r>
    </w:p>
    <w:p w:rsidR="00143929" w:rsidRDefault="00143929" w:rsidP="00143929">
      <w:pPr>
        <w:pStyle w:val="ListParagraph"/>
        <w:numPr>
          <w:ilvl w:val="0"/>
          <w:numId w:val="1"/>
        </w:numPr>
      </w:pPr>
      <w:r>
        <w:t xml:space="preserve">Vice Chancellor’s ‘town-hall’ meetings; </w:t>
      </w:r>
    </w:p>
    <w:p w:rsidR="00143929" w:rsidRDefault="00143929" w:rsidP="00143929">
      <w:pPr>
        <w:pStyle w:val="ListParagraph"/>
        <w:numPr>
          <w:ilvl w:val="0"/>
          <w:numId w:val="1"/>
        </w:numPr>
      </w:pPr>
      <w:r>
        <w:t xml:space="preserve">faculty and school presentations by pro-VCs, research deans and others </w:t>
      </w:r>
    </w:p>
    <w:p w:rsidR="00143929" w:rsidRDefault="00143929" w:rsidP="00143929">
      <w:pPr>
        <w:pStyle w:val="ListParagraph"/>
        <w:numPr>
          <w:ilvl w:val="0"/>
          <w:numId w:val="1"/>
        </w:numPr>
      </w:pPr>
      <w:r>
        <w:t>discussions in faculty, departmental, research group and school staff and other meetings</w:t>
      </w:r>
    </w:p>
    <w:p w:rsidR="00143929" w:rsidRDefault="00922388" w:rsidP="00143929">
      <w:pPr>
        <w:pStyle w:val="ListParagraph"/>
        <w:numPr>
          <w:ilvl w:val="0"/>
          <w:numId w:val="1"/>
        </w:numPr>
      </w:pPr>
      <w:r>
        <w:t xml:space="preserve">emails sent or </w:t>
      </w:r>
      <w:r w:rsidR="00143929">
        <w:t>formal gatherings convened by UCU reps or other activists</w:t>
      </w:r>
    </w:p>
    <w:p w:rsidR="00143929" w:rsidRDefault="00143929" w:rsidP="00143929">
      <w:pPr>
        <w:pStyle w:val="ListParagraph"/>
        <w:numPr>
          <w:ilvl w:val="0"/>
          <w:numId w:val="1"/>
        </w:numPr>
      </w:pPr>
      <w:r>
        <w:t>REF-readiness</w:t>
      </w:r>
      <w:r w:rsidR="00BF1F52">
        <w:t xml:space="preserve"> exercises, internal quality assessments, or other formal </w:t>
      </w:r>
      <w:r>
        <w:t>audit</w:t>
      </w:r>
      <w:r w:rsidR="000A7B7E">
        <w:t>s</w:t>
      </w:r>
    </w:p>
    <w:p w:rsidR="00143929" w:rsidRDefault="00143929" w:rsidP="00143929">
      <w:pPr>
        <w:pStyle w:val="ListParagraph"/>
        <w:numPr>
          <w:ilvl w:val="0"/>
          <w:numId w:val="1"/>
        </w:numPr>
      </w:pPr>
      <w:r>
        <w:t xml:space="preserve">PDRs, </w:t>
      </w:r>
      <w:r w:rsidR="000A7B7E">
        <w:t xml:space="preserve">and </w:t>
      </w:r>
      <w:r w:rsidR="00F52786">
        <w:t xml:space="preserve">formal or informal </w:t>
      </w:r>
      <w:r>
        <w:t>discussions with managers about career trajectories</w:t>
      </w:r>
      <w:r w:rsidR="000A7B7E">
        <w:t>, promotions,</w:t>
      </w:r>
      <w:r>
        <w:t xml:space="preserve"> and</w:t>
      </w:r>
      <w:r w:rsidR="000A7B7E">
        <w:t xml:space="preserve"> other</w:t>
      </w:r>
      <w:r>
        <w:t xml:space="preserve"> contractual matters; </w:t>
      </w:r>
    </w:p>
    <w:p w:rsidR="00143929" w:rsidRDefault="00143929" w:rsidP="00143929">
      <w:pPr>
        <w:pStyle w:val="ListParagraph"/>
        <w:numPr>
          <w:ilvl w:val="0"/>
          <w:numId w:val="1"/>
        </w:numPr>
      </w:pPr>
      <w:r>
        <w:t>informal interactions and conversations with colleagues, students, university managers or family and friends outside the university</w:t>
      </w:r>
    </w:p>
    <w:p w:rsidR="001D34BA" w:rsidRDefault="00B904DA" w:rsidP="00143929">
      <w:r>
        <w:t>You’re welcome to add your reflections</w:t>
      </w:r>
      <w:r w:rsidR="001D34BA">
        <w:t xml:space="preserve"> on these encounters. These could include: </w:t>
      </w:r>
    </w:p>
    <w:p w:rsidR="00B904DA" w:rsidRDefault="008F3AEF" w:rsidP="001D34BA">
      <w:pPr>
        <w:pStyle w:val="ListParagraph"/>
        <w:numPr>
          <w:ilvl w:val="0"/>
          <w:numId w:val="1"/>
        </w:numPr>
      </w:pPr>
      <w:r>
        <w:t>y</w:t>
      </w:r>
      <w:r w:rsidR="001D34BA">
        <w:t xml:space="preserve">our </w:t>
      </w:r>
      <w:r w:rsidR="00B904DA">
        <w:t>associations, feelings, expectations</w:t>
      </w:r>
    </w:p>
    <w:p w:rsidR="00143929" w:rsidRDefault="001D34BA" w:rsidP="00143929">
      <w:pPr>
        <w:pStyle w:val="ListParagraph"/>
        <w:numPr>
          <w:ilvl w:val="0"/>
          <w:numId w:val="1"/>
        </w:numPr>
      </w:pPr>
      <w:r>
        <w:t xml:space="preserve">changes to </w:t>
      </w:r>
      <w:r w:rsidR="00143929">
        <w:t>the nature and quality of your interactions with colleagu</w:t>
      </w:r>
      <w:r>
        <w:t>es/managers</w:t>
      </w:r>
      <w:r w:rsidR="00143929">
        <w:t xml:space="preserve"> </w:t>
      </w:r>
    </w:p>
    <w:p w:rsidR="00143929" w:rsidRDefault="008F3AEF" w:rsidP="00143929">
      <w:pPr>
        <w:pStyle w:val="ListParagraph"/>
        <w:numPr>
          <w:ilvl w:val="0"/>
          <w:numId w:val="1"/>
        </w:numPr>
      </w:pPr>
      <w:r>
        <w:t>h</w:t>
      </w:r>
      <w:r w:rsidR="00143929">
        <w:t>ow these interactions change</w:t>
      </w:r>
      <w:r w:rsidR="00F52786">
        <w:t>d</w:t>
      </w:r>
      <w:r w:rsidR="00143929">
        <w:t xml:space="preserve"> what you thought about the meaning and purpose of Newcastl</w:t>
      </w:r>
      <w:r w:rsidR="00F52786">
        <w:t>e University and your own work</w:t>
      </w:r>
    </w:p>
    <w:p w:rsidR="00143929" w:rsidRDefault="008F3AEF" w:rsidP="00143929">
      <w:pPr>
        <w:pStyle w:val="ListParagraph"/>
        <w:numPr>
          <w:ilvl w:val="0"/>
          <w:numId w:val="1"/>
        </w:numPr>
      </w:pPr>
      <w:r>
        <w:t>c</w:t>
      </w:r>
      <w:r w:rsidR="00143929">
        <w:t>hange</w:t>
      </w:r>
      <w:r w:rsidR="001D34BA">
        <w:t>s to</w:t>
      </w:r>
      <w:r>
        <w:t xml:space="preserve"> your working practices</w:t>
      </w:r>
      <w:r w:rsidR="00143929">
        <w:t xml:space="preserve"> </w:t>
      </w:r>
    </w:p>
    <w:p w:rsidR="00143929" w:rsidRDefault="008F3AEF" w:rsidP="00143929">
      <w:pPr>
        <w:pStyle w:val="ListParagraph"/>
        <w:numPr>
          <w:ilvl w:val="0"/>
          <w:numId w:val="1"/>
        </w:numPr>
      </w:pPr>
      <w:proofErr w:type="gramStart"/>
      <w:r>
        <w:t>a</w:t>
      </w:r>
      <w:r w:rsidR="001D34BA">
        <w:t>ltered</w:t>
      </w:r>
      <w:proofErr w:type="gramEnd"/>
      <w:r w:rsidR="001D34BA">
        <w:t xml:space="preserve"> relations/</w:t>
      </w:r>
      <w:r w:rsidR="00143929">
        <w:t>attitude to university management</w:t>
      </w:r>
      <w:r>
        <w:t>.</w:t>
      </w:r>
      <w:r w:rsidR="001D34BA">
        <w:t xml:space="preserve"> I</w:t>
      </w:r>
      <w:r w:rsidR="00143929">
        <w:t xml:space="preserve">f you are a middle manager (head of school, research director, degree programme director, </w:t>
      </w:r>
      <w:proofErr w:type="spellStart"/>
      <w:r w:rsidR="00143929">
        <w:t>etc</w:t>
      </w:r>
      <w:proofErr w:type="spellEnd"/>
      <w:r w:rsidR="00143929">
        <w:t>), what were your feelings and experiences about the expectations upon you to assist in rolling out RTB?</w:t>
      </w:r>
    </w:p>
    <w:p w:rsidR="00BF42D4" w:rsidRDefault="001F7272" w:rsidP="001F7272">
      <w:pPr>
        <w:contextualSpacing/>
      </w:pPr>
      <w:r>
        <w:t>Please feel free to write as much or as little as you want: even infrequently-recorded notes will be valuable to the overall project.</w:t>
      </w:r>
      <w:r w:rsidR="00BF42D4">
        <w:t xml:space="preserve"> </w:t>
      </w:r>
      <w:r w:rsidR="00BF42D4">
        <w:t xml:space="preserve">Instead of keeping a diary, you could make audio/video recordings on a mobile device and send them to </w:t>
      </w:r>
      <w:hyperlink r:id="rId5" w:history="1">
        <w:r w:rsidR="00BF42D4" w:rsidRPr="00F05CC6">
          <w:rPr>
            <w:rStyle w:val="Hyperlink"/>
          </w:rPr>
          <w:t>rtb.research@outlook.com</w:t>
        </w:r>
      </w:hyperlink>
      <w:r w:rsidR="00BF42D4">
        <w:t xml:space="preserve"> for collation and eventual transcription. You could also send your reflections by email, and </w:t>
      </w:r>
      <w:r w:rsidR="00BF42D4">
        <w:t xml:space="preserve">they’d be </w:t>
      </w:r>
      <w:r w:rsidR="00BF42D4">
        <w:t>collate</w:t>
      </w:r>
      <w:r w:rsidR="00BF42D4">
        <w:t>d</w:t>
      </w:r>
      <w:r w:rsidR="00BF42D4">
        <w:t xml:space="preserve"> in the same way.</w:t>
      </w:r>
    </w:p>
    <w:p w:rsidR="00F40CBE" w:rsidRDefault="00F40CBE" w:rsidP="001F7272">
      <w:pPr>
        <w:contextualSpacing/>
      </w:pPr>
    </w:p>
    <w:p w:rsidR="00B1052F" w:rsidRDefault="00F40CBE" w:rsidP="00143929">
      <w:pPr>
        <w:rPr>
          <w:rFonts w:ascii="Adobe Gothic Std B" w:eastAsia="Adobe Gothic Std B" w:hAnsi="Adobe Gothic Std B" w:cs="Aharoni"/>
          <w:sz w:val="36"/>
          <w:szCs w:val="36"/>
        </w:rPr>
      </w:pPr>
      <w:r w:rsidRPr="00F40CBE">
        <w:t xml:space="preserve">For further information on the research and its use, </w:t>
      </w:r>
      <w:r>
        <w:t>including ethical issues of security</w:t>
      </w:r>
      <w:r w:rsidR="00F52786">
        <w:t>,</w:t>
      </w:r>
      <w:r>
        <w:t xml:space="preserve"> anonymization,</w:t>
      </w:r>
      <w:r w:rsidR="00F52786">
        <w:t xml:space="preserve"> and reputation,</w:t>
      </w:r>
      <w:r>
        <w:t xml:space="preserve"> </w:t>
      </w:r>
      <w:r w:rsidRPr="00F40CBE">
        <w:t>see</w:t>
      </w:r>
      <w:r>
        <w:t xml:space="preserve"> full research outline and </w:t>
      </w:r>
      <w:r w:rsidR="00F52786">
        <w:t xml:space="preserve">in particular </w:t>
      </w:r>
      <w:r>
        <w:t>the diary exercise covering letter on</w:t>
      </w:r>
      <w:r w:rsidRPr="00F40CBE">
        <w:t xml:space="preserve"> the project website </w:t>
      </w:r>
      <w:hyperlink r:id="rId6" w:history="1">
        <w:r w:rsidRPr="00F52786">
          <w:rPr>
            <w:rStyle w:val="Hyperlink"/>
          </w:rPr>
          <w:t>www.rtbresearch.org</w:t>
        </w:r>
      </w:hyperlink>
      <w:r>
        <w:t xml:space="preserve">, or contact Dr Nick Megoran, Reader in Political Geography, at either </w:t>
      </w:r>
      <w:hyperlink r:id="rId7" w:history="1">
        <w:r w:rsidRPr="00F05CC6">
          <w:rPr>
            <w:rStyle w:val="Hyperlink"/>
          </w:rPr>
          <w:t>rtb.research@outlook.com</w:t>
        </w:r>
      </w:hyperlink>
      <w:r>
        <w:t xml:space="preserve"> or on internal telephone on 86450.</w:t>
      </w:r>
      <w:bookmarkStart w:id="0" w:name="_GoBack"/>
      <w:bookmarkEnd w:id="0"/>
    </w:p>
    <w:p w:rsidR="00143929" w:rsidRDefault="00143929" w:rsidP="00143929">
      <w:pPr>
        <w:rPr>
          <w:rFonts w:ascii="Adobe Gothic Std B" w:eastAsia="Adobe Gothic Std B" w:hAnsi="Adobe Gothic Std B" w:cs="Aharoni"/>
          <w:sz w:val="36"/>
          <w:szCs w:val="36"/>
        </w:rPr>
      </w:pPr>
      <w:r w:rsidRPr="00AB7965">
        <w:rPr>
          <w:rFonts w:ascii="Adobe Gothic Std B" w:eastAsia="Adobe Gothic Std B" w:hAnsi="Adobe Gothic Std B" w:cs="Aharoni"/>
          <w:sz w:val="36"/>
          <w:szCs w:val="36"/>
        </w:rPr>
        <w:lastRenderedPageBreak/>
        <w:t>PART I: RETROSPECTIVE</w:t>
      </w:r>
      <w:r>
        <w:rPr>
          <w:rFonts w:ascii="Adobe Gothic Std B" w:eastAsia="Adobe Gothic Std B" w:hAnsi="Adobe Gothic Std B" w:cs="Aharoni"/>
          <w:sz w:val="36"/>
          <w:szCs w:val="36"/>
        </w:rPr>
        <w:t xml:space="preserve"> </w:t>
      </w:r>
      <w:r w:rsidR="00922388">
        <w:rPr>
          <w:rFonts w:ascii="Adobe Gothic Std B" w:eastAsia="Adobe Gothic Std B" w:hAnsi="Adobe Gothic Std B" w:cs="Aharoni"/>
          <w:sz w:val="36"/>
          <w:szCs w:val="36"/>
        </w:rPr>
        <w:t>REFLECTIONS</w:t>
      </w:r>
    </w:p>
    <w:p w:rsidR="00922388" w:rsidRPr="00922388" w:rsidRDefault="00922388" w:rsidP="00143929">
      <w:pPr>
        <w:rPr>
          <w:rFonts w:ascii="Times New Roman" w:eastAsia="Adobe Gothic Std B" w:hAnsi="Times New Roman" w:cs="Times New Roman"/>
          <w:i/>
          <w:sz w:val="24"/>
          <w:szCs w:val="24"/>
        </w:rPr>
      </w:pPr>
      <w:r>
        <w:rPr>
          <w:rFonts w:ascii="Times New Roman" w:eastAsia="Adobe Gothic Std B" w:hAnsi="Times New Roman" w:cs="Times New Roman"/>
          <w:i/>
          <w:sz w:val="24"/>
          <w:szCs w:val="24"/>
        </w:rPr>
        <w:t>Add as appropriate</w:t>
      </w:r>
    </w:p>
    <w:p w:rsidR="00143929" w:rsidRDefault="00143929" w:rsidP="00143929"/>
    <w:p w:rsidR="00922388" w:rsidRDefault="00922388" w:rsidP="00143929"/>
    <w:p w:rsidR="00922388" w:rsidRDefault="00922388" w:rsidP="00143929"/>
    <w:p w:rsidR="00922388" w:rsidRDefault="00922388" w:rsidP="00143929"/>
    <w:p w:rsidR="00922388" w:rsidRDefault="00922388" w:rsidP="00143929"/>
    <w:p w:rsidR="00143929" w:rsidRPr="00AB7965" w:rsidRDefault="00143929" w:rsidP="00143929">
      <w:pPr>
        <w:rPr>
          <w:rFonts w:ascii="Adobe Gothic Std B" w:eastAsia="Adobe Gothic Std B" w:hAnsi="Adobe Gothic Std B" w:cs="Aharoni"/>
          <w:sz w:val="36"/>
          <w:szCs w:val="36"/>
        </w:rPr>
      </w:pPr>
      <w:r w:rsidRPr="00AB7965">
        <w:rPr>
          <w:rFonts w:ascii="Adobe Gothic Std B" w:eastAsia="Adobe Gothic Std B" w:hAnsi="Adobe Gothic Std B" w:cs="Aharoni"/>
          <w:sz w:val="36"/>
          <w:szCs w:val="36"/>
        </w:rPr>
        <w:t xml:space="preserve">PART </w:t>
      </w:r>
      <w:r>
        <w:rPr>
          <w:rFonts w:ascii="Adobe Gothic Std B" w:eastAsia="Adobe Gothic Std B" w:hAnsi="Adobe Gothic Std B" w:cs="Aharoni"/>
          <w:sz w:val="36"/>
          <w:szCs w:val="36"/>
        </w:rPr>
        <w:t>I</w:t>
      </w:r>
      <w:r w:rsidRPr="00AB7965">
        <w:rPr>
          <w:rFonts w:ascii="Adobe Gothic Std B" w:eastAsia="Adobe Gothic Std B" w:hAnsi="Adobe Gothic Std B" w:cs="Aharoni"/>
          <w:sz w:val="36"/>
          <w:szCs w:val="36"/>
        </w:rPr>
        <w:t xml:space="preserve">I: </w:t>
      </w:r>
      <w:r>
        <w:rPr>
          <w:rFonts w:ascii="Adobe Gothic Std B" w:eastAsia="Adobe Gothic Std B" w:hAnsi="Adobe Gothic Std B" w:cs="Aharoni"/>
          <w:sz w:val="36"/>
          <w:szCs w:val="36"/>
        </w:rPr>
        <w:t>ONGOING DIARY</w:t>
      </w:r>
    </w:p>
    <w:tbl>
      <w:tblPr>
        <w:tblW w:w="5104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Diary pages table"/>
      </w:tblPr>
      <w:tblGrid>
        <w:gridCol w:w="1111"/>
        <w:gridCol w:w="341"/>
        <w:gridCol w:w="7762"/>
      </w:tblGrid>
      <w:tr w:rsidR="00143929" w:rsidTr="00C9556D">
        <w:tc>
          <w:tcPr>
            <w:tcW w:w="603" w:type="pct"/>
            <w:tcBorders>
              <w:bottom w:val="single" w:sz="4" w:space="0" w:color="7F7F7F" w:themeColor="text1" w:themeTint="80"/>
            </w:tcBorders>
          </w:tcPr>
          <w:p w:rsidR="00143929" w:rsidRDefault="00143929" w:rsidP="00F40CBE">
            <w:r>
              <w:t>Date</w:t>
            </w:r>
          </w:p>
        </w:tc>
        <w:tc>
          <w:tcPr>
            <w:tcW w:w="185" w:type="pct"/>
          </w:tcPr>
          <w:p w:rsidR="00143929" w:rsidRDefault="00143929" w:rsidP="00F40CBE"/>
        </w:tc>
        <w:tc>
          <w:tcPr>
            <w:tcW w:w="4212" w:type="pct"/>
            <w:tcBorders>
              <w:bottom w:val="single" w:sz="4" w:space="0" w:color="7F7F7F" w:themeColor="text1" w:themeTint="80"/>
            </w:tcBorders>
          </w:tcPr>
          <w:p w:rsidR="00143929" w:rsidRDefault="00C9556D" w:rsidP="00F40CBE">
            <w:r>
              <w:t xml:space="preserve"> Entry</w:t>
            </w:r>
          </w:p>
        </w:tc>
      </w:tr>
      <w:tr w:rsidR="00143929" w:rsidTr="00C9556D">
        <w:tc>
          <w:tcPr>
            <w:tcW w:w="603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:rsidR="00143929" w:rsidRDefault="00C9556D" w:rsidP="00F40CBE">
            <w:r>
              <w:t xml:space="preserve"> </w:t>
            </w:r>
          </w:p>
        </w:tc>
        <w:tc>
          <w:tcPr>
            <w:tcW w:w="185" w:type="pct"/>
          </w:tcPr>
          <w:p w:rsidR="00143929" w:rsidRDefault="00143929" w:rsidP="00F40CBE"/>
        </w:tc>
        <w:tc>
          <w:tcPr>
            <w:tcW w:w="4212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:rsidR="00143929" w:rsidRDefault="00143929" w:rsidP="00F40CBE"/>
        </w:tc>
      </w:tr>
      <w:tr w:rsidR="00143929" w:rsidTr="00C9556D">
        <w:tc>
          <w:tcPr>
            <w:tcW w:w="603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:rsidR="00143929" w:rsidRDefault="00143929" w:rsidP="00F40CBE">
            <w:r>
              <w:t xml:space="preserve"> </w:t>
            </w:r>
          </w:p>
        </w:tc>
        <w:tc>
          <w:tcPr>
            <w:tcW w:w="185" w:type="pct"/>
          </w:tcPr>
          <w:p w:rsidR="00143929" w:rsidRDefault="00143929" w:rsidP="00F40CBE"/>
        </w:tc>
        <w:tc>
          <w:tcPr>
            <w:tcW w:w="4212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:rsidR="00143929" w:rsidRDefault="00143929" w:rsidP="00F40CBE"/>
        </w:tc>
      </w:tr>
      <w:tr w:rsidR="00143929" w:rsidTr="00C9556D">
        <w:tc>
          <w:tcPr>
            <w:tcW w:w="603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:rsidR="00143929" w:rsidRDefault="00C9556D" w:rsidP="00C9556D">
            <w:pPr>
              <w:ind w:right="2773"/>
            </w:pPr>
            <w:r>
              <w:t xml:space="preserve"> </w:t>
            </w:r>
          </w:p>
        </w:tc>
        <w:tc>
          <w:tcPr>
            <w:tcW w:w="185" w:type="pct"/>
          </w:tcPr>
          <w:p w:rsidR="00143929" w:rsidRDefault="00143929" w:rsidP="00F40CBE"/>
        </w:tc>
        <w:tc>
          <w:tcPr>
            <w:tcW w:w="4212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:rsidR="00143929" w:rsidRDefault="00143929" w:rsidP="00F40CBE"/>
        </w:tc>
      </w:tr>
      <w:tr w:rsidR="00143929" w:rsidTr="00C9556D">
        <w:tc>
          <w:tcPr>
            <w:tcW w:w="603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:rsidR="00143929" w:rsidRDefault="00143929" w:rsidP="00F40CBE"/>
        </w:tc>
        <w:tc>
          <w:tcPr>
            <w:tcW w:w="185" w:type="pct"/>
          </w:tcPr>
          <w:p w:rsidR="00143929" w:rsidRDefault="00143929" w:rsidP="00F40CBE"/>
        </w:tc>
        <w:tc>
          <w:tcPr>
            <w:tcW w:w="4212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:rsidR="00143929" w:rsidRDefault="00143929" w:rsidP="00F40CBE"/>
        </w:tc>
      </w:tr>
      <w:tr w:rsidR="00143929" w:rsidTr="00C9556D">
        <w:tc>
          <w:tcPr>
            <w:tcW w:w="603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:rsidR="00143929" w:rsidRDefault="00143929" w:rsidP="00F40CBE"/>
        </w:tc>
        <w:tc>
          <w:tcPr>
            <w:tcW w:w="185" w:type="pct"/>
          </w:tcPr>
          <w:p w:rsidR="00143929" w:rsidRDefault="00143929" w:rsidP="00F40CBE"/>
        </w:tc>
        <w:tc>
          <w:tcPr>
            <w:tcW w:w="4212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:rsidR="00143929" w:rsidRDefault="00143929" w:rsidP="00F40CBE"/>
        </w:tc>
      </w:tr>
      <w:tr w:rsidR="00143929" w:rsidTr="00C9556D">
        <w:tc>
          <w:tcPr>
            <w:tcW w:w="603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:rsidR="00143929" w:rsidRDefault="00143929" w:rsidP="00F40CBE"/>
        </w:tc>
        <w:tc>
          <w:tcPr>
            <w:tcW w:w="185" w:type="pct"/>
          </w:tcPr>
          <w:p w:rsidR="00143929" w:rsidRDefault="00143929" w:rsidP="00F40CBE"/>
        </w:tc>
        <w:tc>
          <w:tcPr>
            <w:tcW w:w="4212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:rsidR="00143929" w:rsidRDefault="00143929" w:rsidP="00F40CBE"/>
        </w:tc>
      </w:tr>
      <w:tr w:rsidR="00143929" w:rsidTr="00C9556D">
        <w:tc>
          <w:tcPr>
            <w:tcW w:w="603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:rsidR="00143929" w:rsidRDefault="00143929" w:rsidP="00F40CBE"/>
        </w:tc>
        <w:tc>
          <w:tcPr>
            <w:tcW w:w="185" w:type="pct"/>
          </w:tcPr>
          <w:p w:rsidR="00143929" w:rsidRDefault="00143929" w:rsidP="00F40CBE"/>
        </w:tc>
        <w:tc>
          <w:tcPr>
            <w:tcW w:w="4212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:rsidR="00143929" w:rsidRDefault="00143929" w:rsidP="00F40CBE"/>
        </w:tc>
      </w:tr>
      <w:tr w:rsidR="00143929" w:rsidTr="00C9556D">
        <w:tc>
          <w:tcPr>
            <w:tcW w:w="603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:rsidR="00143929" w:rsidRDefault="00143929" w:rsidP="00F40CBE"/>
        </w:tc>
        <w:tc>
          <w:tcPr>
            <w:tcW w:w="185" w:type="pct"/>
          </w:tcPr>
          <w:p w:rsidR="00143929" w:rsidRDefault="00143929" w:rsidP="00F40CBE"/>
        </w:tc>
        <w:tc>
          <w:tcPr>
            <w:tcW w:w="4212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:rsidR="00143929" w:rsidRDefault="00143929" w:rsidP="00F40CBE"/>
        </w:tc>
      </w:tr>
      <w:tr w:rsidR="00143929" w:rsidTr="00C9556D">
        <w:tc>
          <w:tcPr>
            <w:tcW w:w="603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:rsidR="00143929" w:rsidRDefault="00143929" w:rsidP="00F40CBE"/>
        </w:tc>
        <w:tc>
          <w:tcPr>
            <w:tcW w:w="185" w:type="pct"/>
          </w:tcPr>
          <w:p w:rsidR="00143929" w:rsidRDefault="00143929" w:rsidP="00F40CBE"/>
        </w:tc>
        <w:tc>
          <w:tcPr>
            <w:tcW w:w="4212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:rsidR="00143929" w:rsidRDefault="00143929" w:rsidP="00F40CBE"/>
        </w:tc>
      </w:tr>
      <w:tr w:rsidR="00143929" w:rsidTr="00C9556D">
        <w:tc>
          <w:tcPr>
            <w:tcW w:w="603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:rsidR="00143929" w:rsidRDefault="00143929" w:rsidP="00F40CBE"/>
        </w:tc>
        <w:tc>
          <w:tcPr>
            <w:tcW w:w="185" w:type="pct"/>
          </w:tcPr>
          <w:p w:rsidR="00143929" w:rsidRDefault="00143929" w:rsidP="00F40CBE"/>
        </w:tc>
        <w:tc>
          <w:tcPr>
            <w:tcW w:w="4212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:rsidR="00143929" w:rsidRDefault="00143929" w:rsidP="00F40CBE"/>
        </w:tc>
      </w:tr>
      <w:tr w:rsidR="00143929" w:rsidTr="00C9556D">
        <w:tc>
          <w:tcPr>
            <w:tcW w:w="603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:rsidR="00143929" w:rsidRDefault="00143929" w:rsidP="00F40CBE"/>
        </w:tc>
        <w:tc>
          <w:tcPr>
            <w:tcW w:w="185" w:type="pct"/>
          </w:tcPr>
          <w:p w:rsidR="00143929" w:rsidRDefault="00143929" w:rsidP="00F40CBE"/>
        </w:tc>
        <w:tc>
          <w:tcPr>
            <w:tcW w:w="4212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:rsidR="00143929" w:rsidRDefault="00143929" w:rsidP="00F40CBE"/>
        </w:tc>
      </w:tr>
      <w:tr w:rsidR="00143929" w:rsidTr="00C9556D">
        <w:tc>
          <w:tcPr>
            <w:tcW w:w="603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:rsidR="00143929" w:rsidRDefault="00143929" w:rsidP="00F40CBE"/>
        </w:tc>
        <w:tc>
          <w:tcPr>
            <w:tcW w:w="185" w:type="pct"/>
          </w:tcPr>
          <w:p w:rsidR="00143929" w:rsidRDefault="00143929" w:rsidP="00F40CBE"/>
        </w:tc>
        <w:tc>
          <w:tcPr>
            <w:tcW w:w="4212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:rsidR="00143929" w:rsidRDefault="00143929" w:rsidP="00F40CBE"/>
        </w:tc>
      </w:tr>
      <w:tr w:rsidR="00143929" w:rsidTr="00C9556D">
        <w:tc>
          <w:tcPr>
            <w:tcW w:w="603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:rsidR="00143929" w:rsidRDefault="00143929" w:rsidP="00F40CBE"/>
        </w:tc>
        <w:tc>
          <w:tcPr>
            <w:tcW w:w="185" w:type="pct"/>
          </w:tcPr>
          <w:p w:rsidR="00143929" w:rsidRDefault="00143929" w:rsidP="00F40CBE"/>
        </w:tc>
        <w:tc>
          <w:tcPr>
            <w:tcW w:w="4212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:rsidR="00143929" w:rsidRDefault="00143929" w:rsidP="00F40CBE"/>
        </w:tc>
      </w:tr>
      <w:tr w:rsidR="00143929" w:rsidTr="00C9556D">
        <w:tc>
          <w:tcPr>
            <w:tcW w:w="603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:rsidR="00143929" w:rsidRDefault="00143929" w:rsidP="00F40CBE"/>
        </w:tc>
        <w:tc>
          <w:tcPr>
            <w:tcW w:w="185" w:type="pct"/>
          </w:tcPr>
          <w:p w:rsidR="00143929" w:rsidRDefault="00143929" w:rsidP="00F40CBE"/>
        </w:tc>
        <w:tc>
          <w:tcPr>
            <w:tcW w:w="4212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:rsidR="00143929" w:rsidRDefault="00143929" w:rsidP="00F40CBE"/>
        </w:tc>
      </w:tr>
      <w:tr w:rsidR="00143929" w:rsidTr="00C9556D">
        <w:tc>
          <w:tcPr>
            <w:tcW w:w="603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:rsidR="00143929" w:rsidRDefault="00143929" w:rsidP="00F40CBE"/>
        </w:tc>
        <w:tc>
          <w:tcPr>
            <w:tcW w:w="185" w:type="pct"/>
          </w:tcPr>
          <w:p w:rsidR="00143929" w:rsidRDefault="00143929" w:rsidP="00F40CBE"/>
        </w:tc>
        <w:tc>
          <w:tcPr>
            <w:tcW w:w="4212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:rsidR="00143929" w:rsidRDefault="00143929" w:rsidP="00F40CBE"/>
        </w:tc>
      </w:tr>
      <w:tr w:rsidR="00143929" w:rsidTr="00C9556D">
        <w:tc>
          <w:tcPr>
            <w:tcW w:w="603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:rsidR="00143929" w:rsidRDefault="00143929" w:rsidP="00F40CBE"/>
        </w:tc>
        <w:tc>
          <w:tcPr>
            <w:tcW w:w="185" w:type="pct"/>
          </w:tcPr>
          <w:p w:rsidR="00143929" w:rsidRDefault="00143929" w:rsidP="00F40CBE"/>
        </w:tc>
        <w:tc>
          <w:tcPr>
            <w:tcW w:w="4212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:rsidR="00143929" w:rsidRDefault="00143929" w:rsidP="00F40CBE"/>
        </w:tc>
      </w:tr>
    </w:tbl>
    <w:p w:rsidR="00143929" w:rsidRDefault="00143929" w:rsidP="00143929">
      <w:pPr>
        <w:rPr>
          <w:rFonts w:ascii="Adobe Gothic Std B" w:eastAsia="Adobe Gothic Std B" w:hAnsi="Adobe Gothic Std B" w:cs="Aharoni"/>
          <w:b/>
          <w:sz w:val="36"/>
          <w:szCs w:val="36"/>
        </w:rPr>
      </w:pPr>
      <w:r>
        <w:rPr>
          <w:rFonts w:ascii="Adobe Gothic Std B" w:eastAsia="Adobe Gothic Std B" w:hAnsi="Adobe Gothic Std B" w:cs="Aharoni"/>
          <w:b/>
          <w:sz w:val="36"/>
          <w:szCs w:val="36"/>
        </w:rPr>
        <w:t xml:space="preserve"> </w:t>
      </w:r>
    </w:p>
    <w:p w:rsidR="00143929" w:rsidRDefault="00143929">
      <w:r>
        <w:rPr>
          <w:i/>
        </w:rPr>
        <w:t>NB: to extend table space, highlight the last few lines: ‘Table tools’ tab will appear, select ‘Layout’ then ‘insert below.’</w:t>
      </w:r>
    </w:p>
    <w:sectPr w:rsidR="001439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AD3F10"/>
    <w:multiLevelType w:val="hybridMultilevel"/>
    <w:tmpl w:val="73FAE02E"/>
    <w:lvl w:ilvl="0" w:tplc="E08637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929"/>
    <w:rsid w:val="000A7B7E"/>
    <w:rsid w:val="000B6549"/>
    <w:rsid w:val="00143929"/>
    <w:rsid w:val="001D34BA"/>
    <w:rsid w:val="001F7272"/>
    <w:rsid w:val="00201153"/>
    <w:rsid w:val="00286BBC"/>
    <w:rsid w:val="00523BE4"/>
    <w:rsid w:val="0056663E"/>
    <w:rsid w:val="005B0E71"/>
    <w:rsid w:val="006774AF"/>
    <w:rsid w:val="00696F65"/>
    <w:rsid w:val="006E20AC"/>
    <w:rsid w:val="00705DB2"/>
    <w:rsid w:val="00721FCE"/>
    <w:rsid w:val="007B2182"/>
    <w:rsid w:val="007D3B4F"/>
    <w:rsid w:val="008E1C80"/>
    <w:rsid w:val="008F3AEF"/>
    <w:rsid w:val="00922388"/>
    <w:rsid w:val="00A14556"/>
    <w:rsid w:val="00A347A7"/>
    <w:rsid w:val="00B1052F"/>
    <w:rsid w:val="00B107C6"/>
    <w:rsid w:val="00B904DA"/>
    <w:rsid w:val="00BF1F52"/>
    <w:rsid w:val="00BF42D4"/>
    <w:rsid w:val="00C9556D"/>
    <w:rsid w:val="00CC4FD3"/>
    <w:rsid w:val="00E64751"/>
    <w:rsid w:val="00F40CBE"/>
    <w:rsid w:val="00F52786"/>
    <w:rsid w:val="00F56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F549F3-9E58-4858-A1D0-CE76A60BA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3929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439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9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929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9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92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439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tb.research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tbresearch.org" TargetMode="External"/><Relationship Id="rId5" Type="http://schemas.openxmlformats.org/officeDocument/2006/relationships/hyperlink" Target="mailto:rtb.research@outlook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Newcastle University</Company>
  <LinksUpToDate>false</LinksUpToDate>
  <CharactersWithSpaces>3342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Megoran</dc:creator>
  <cp:keywords/>
  <dc:description/>
  <cp:lastModifiedBy>Nick Megoran</cp:lastModifiedBy>
  <cp:revision>29</cp:revision>
  <dcterms:created xsi:type="dcterms:W3CDTF">2016-02-23T13:38:00Z</dcterms:created>
  <dcterms:modified xsi:type="dcterms:W3CDTF">2016-05-06T14:10:00Z</dcterms:modified>
</cp:coreProperties>
</file>